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01F" w:rsidRDefault="00A3601F" w:rsidP="00A3601F">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3601F" w:rsidTr="00A3601F">
        <w:trPr>
          <w:jc w:val="center"/>
        </w:trPr>
        <w:tc>
          <w:tcPr>
            <w:tcW w:w="743" w:type="dxa"/>
            <w:hideMark/>
          </w:tcPr>
          <w:p w:rsidR="00A3601F" w:rsidRDefault="00A3601F">
            <w:pPr>
              <w:jc w:val="both"/>
              <w:rPr>
                <w:rFonts w:ascii="Arial (W1)" w:hAnsi="Arial (W1)"/>
                <w:b/>
                <w:bCs/>
                <w:sz w:val="28"/>
                <w:szCs w:val="28"/>
              </w:rPr>
            </w:pPr>
            <w:r>
              <w:rPr>
                <w:b/>
                <w:bCs/>
                <w:sz w:val="28"/>
                <w:rtl/>
              </w:rPr>
              <w:t xml:space="preserve">בפני </w:t>
            </w:r>
          </w:p>
        </w:tc>
        <w:tc>
          <w:tcPr>
            <w:tcW w:w="8077" w:type="dxa"/>
            <w:gridSpan w:val="2"/>
            <w:hideMark/>
          </w:tcPr>
          <w:p w:rsidR="00A3601F" w:rsidRDefault="00A3601F">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A3601F" w:rsidTr="00A3601F">
        <w:trPr>
          <w:jc w:val="center"/>
        </w:trPr>
        <w:tc>
          <w:tcPr>
            <w:tcW w:w="3249" w:type="dxa"/>
            <w:gridSpan w:val="2"/>
          </w:tcPr>
          <w:p w:rsidR="00A3601F" w:rsidRDefault="00A3601F">
            <w:pPr>
              <w:bidi w:val="0"/>
              <w:rPr>
                <w:rFonts w:ascii="Arial (W1)" w:hAnsi="Arial (W1)"/>
                <w:b/>
                <w:bCs/>
                <w:noProof w:val="0"/>
                <w:sz w:val="28"/>
                <w:szCs w:val="28"/>
                <w:rtl/>
              </w:rPr>
            </w:pPr>
          </w:p>
          <w:sdt>
            <w:sdtPr>
              <w:rPr>
                <w:rtl/>
              </w:rPr>
              <w:alias w:val="1180"/>
              <w:tag w:val="1180"/>
              <w:id w:val="-803768281"/>
              <w:text w:multiLine="1"/>
            </w:sdtPr>
            <w:sdtEndPr/>
            <w:sdtContent>
              <w:p w:rsidR="00A3601F" w:rsidRDefault="00A3601F">
                <w:pPr>
                  <w:rPr>
                    <w:rFonts w:ascii="Arial (W1)" w:hAnsi="Arial (W1)"/>
                    <w:b/>
                    <w:bCs/>
                    <w:noProof w:val="0"/>
                    <w:sz w:val="28"/>
                    <w:szCs w:val="28"/>
                    <w:rtl/>
                  </w:rPr>
                </w:pPr>
                <w:r>
                  <w:rPr>
                    <w:b/>
                    <w:bCs/>
                    <w:noProof w:val="0"/>
                    <w:sz w:val="28"/>
                    <w:rtl/>
                  </w:rPr>
                  <w:t>מבקש (המשיב בבקשות לביטול צו קיום צוואה)</w:t>
                </w:r>
              </w:p>
            </w:sdtContent>
          </w:sdt>
        </w:tc>
        <w:tc>
          <w:tcPr>
            <w:tcW w:w="5571" w:type="dxa"/>
          </w:tcPr>
          <w:p w:rsidR="00A3601F" w:rsidRDefault="00A3601F">
            <w:pPr>
              <w:rPr>
                <w:rFonts w:ascii="Arial (W1)" w:hAnsi="Arial (W1)"/>
                <w:b/>
                <w:bCs/>
                <w:noProof w:val="0"/>
                <w:sz w:val="28"/>
                <w:szCs w:val="28"/>
              </w:rPr>
            </w:pPr>
          </w:p>
          <w:p w:rsidR="00A3601F" w:rsidRDefault="000B5C73" w:rsidP="006C384D">
            <w:pPr>
              <w:rPr>
                <w:b/>
                <w:bCs/>
                <w:noProof w:val="0"/>
                <w:sz w:val="28"/>
                <w:rtl/>
              </w:rPr>
            </w:pPr>
            <w:sdt>
              <w:sdtPr>
                <w:rPr>
                  <w:b/>
                  <w:bCs/>
                  <w:noProof w:val="0"/>
                  <w:sz w:val="28"/>
                  <w:rtl/>
                </w:rPr>
                <w:alias w:val="1478"/>
                <w:tag w:val="1478"/>
                <w:id w:val="160126198"/>
                <w:text w:multiLine="1"/>
              </w:sdtPr>
              <w:sdtEndPr/>
              <w:sdtContent>
                <w:r w:rsidR="006C384D">
                  <w:rPr>
                    <w:b/>
                    <w:bCs/>
                    <w:noProof w:val="0"/>
                    <w:sz w:val="28"/>
                    <w:rtl/>
                  </w:rPr>
                  <w:t>י</w:t>
                </w:r>
                <w:r w:rsidR="006C384D">
                  <w:rPr>
                    <w:rFonts w:hint="cs"/>
                    <w:b/>
                    <w:bCs/>
                    <w:noProof w:val="0"/>
                    <w:sz w:val="28"/>
                    <w:rtl/>
                  </w:rPr>
                  <w:t>.כ.</w:t>
                </w:r>
              </w:sdtContent>
            </w:sdt>
            <w:r w:rsidR="00A3601F">
              <w:rPr>
                <w:b/>
                <w:bCs/>
                <w:noProof w:val="0"/>
                <w:sz w:val="28"/>
                <w:rtl/>
              </w:rPr>
              <w:t xml:space="preserve"> </w:t>
            </w:r>
            <w:sdt>
              <w:sdtPr>
                <w:rPr>
                  <w:b/>
                  <w:bCs/>
                  <w:noProof w:val="0"/>
                  <w:sz w:val="28"/>
                  <w:rtl/>
                </w:rPr>
                <w:alias w:val="2315"/>
                <w:tag w:val="2315"/>
                <w:id w:val="815377524"/>
                <w:placeholder>
                  <w:docPart w:val="DC2F18D5EBE7490FAABC441C1DD61B00"/>
                </w:placeholder>
                <w:text w:multiLine="1"/>
              </w:sdtPr>
              <w:sdtEndPr/>
              <w:sdtContent>
                <w:r w:rsidR="00A3601F">
                  <w:rPr>
                    <w:b/>
                    <w:bCs/>
                    <w:noProof w:val="0"/>
                    <w:sz w:val="28"/>
                    <w:rtl/>
                  </w:rPr>
                  <w:t>ת"ז</w:t>
                </w:r>
              </w:sdtContent>
            </w:sdt>
            <w:r w:rsidR="00A3601F">
              <w:rPr>
                <w:b/>
                <w:bCs/>
                <w:noProof w:val="0"/>
                <w:sz w:val="28"/>
                <w:rtl/>
              </w:rPr>
              <w:t xml:space="preserve"> </w:t>
            </w:r>
            <w:r w:rsidR="006C384D">
              <w:rPr>
                <w:rFonts w:hint="cs"/>
                <w:b/>
                <w:bCs/>
                <w:noProof w:val="0"/>
                <w:sz w:val="28"/>
              </w:rPr>
              <w:t>XXX</w:t>
            </w:r>
          </w:p>
          <w:p w:rsidR="00A3601F" w:rsidRDefault="00A3601F">
            <w:pPr>
              <w:rPr>
                <w:rFonts w:ascii="Arial (W1)" w:hAnsi="Arial (W1)"/>
                <w:b/>
                <w:bCs/>
                <w:noProof w:val="0"/>
                <w:sz w:val="28"/>
                <w:szCs w:val="28"/>
                <w:rtl/>
              </w:rPr>
            </w:pPr>
            <w:r>
              <w:rPr>
                <w:b/>
                <w:bCs/>
                <w:noProof w:val="0"/>
                <w:sz w:val="28"/>
                <w:rtl/>
              </w:rPr>
              <w:t xml:space="preserve">ע"י ב"כ עו"ד עמוס האוזנר </w:t>
            </w:r>
          </w:p>
        </w:tc>
      </w:tr>
      <w:tr w:rsidR="00A3601F" w:rsidTr="00A3601F">
        <w:trPr>
          <w:jc w:val="center"/>
        </w:trPr>
        <w:tc>
          <w:tcPr>
            <w:tcW w:w="8820" w:type="dxa"/>
            <w:gridSpan w:val="3"/>
          </w:tcPr>
          <w:p w:rsidR="00A3601F" w:rsidRDefault="00A3601F">
            <w:pPr>
              <w:rPr>
                <w:rFonts w:ascii="Arial (W1)" w:hAnsi="Arial (W1)"/>
                <w:b/>
                <w:bCs/>
                <w:noProof w:val="0"/>
                <w:sz w:val="28"/>
                <w:szCs w:val="28"/>
              </w:rPr>
            </w:pPr>
          </w:p>
          <w:p w:rsidR="00A3601F" w:rsidRDefault="00A3601F">
            <w:pPr>
              <w:jc w:val="center"/>
              <w:rPr>
                <w:b/>
                <w:bCs/>
                <w:noProof w:val="0"/>
                <w:sz w:val="28"/>
                <w:rtl/>
              </w:rPr>
            </w:pPr>
            <w:r>
              <w:rPr>
                <w:b/>
                <w:bCs/>
                <w:noProof w:val="0"/>
                <w:sz w:val="28"/>
                <w:rtl/>
              </w:rPr>
              <w:t>נגד</w:t>
            </w:r>
          </w:p>
          <w:p w:rsidR="00A3601F" w:rsidRDefault="00A3601F">
            <w:pPr>
              <w:rPr>
                <w:rFonts w:ascii="Arial (W1)" w:hAnsi="Arial (W1)"/>
                <w:b/>
                <w:bCs/>
                <w:noProof w:val="0"/>
                <w:sz w:val="28"/>
                <w:szCs w:val="28"/>
                <w:rtl/>
              </w:rPr>
            </w:pPr>
          </w:p>
        </w:tc>
      </w:tr>
      <w:tr w:rsidR="00A3601F" w:rsidTr="00A3601F">
        <w:trPr>
          <w:jc w:val="center"/>
        </w:trPr>
        <w:tc>
          <w:tcPr>
            <w:tcW w:w="3249" w:type="dxa"/>
            <w:gridSpan w:val="2"/>
          </w:tcPr>
          <w:p w:rsidR="00A3601F" w:rsidRDefault="00A3601F">
            <w:pPr>
              <w:rPr>
                <w:rFonts w:ascii="Arial (W1)" w:hAnsi="Arial (W1)"/>
                <w:b/>
                <w:bCs/>
                <w:noProof w:val="0"/>
                <w:sz w:val="28"/>
                <w:szCs w:val="28"/>
              </w:rPr>
            </w:pPr>
          </w:p>
          <w:p w:rsidR="00A3601F" w:rsidRDefault="000B5C73">
            <w:pPr>
              <w:rPr>
                <w:rFonts w:ascii="Arial (W1)" w:hAnsi="Arial (W1)"/>
                <w:b/>
                <w:bCs/>
                <w:noProof w:val="0"/>
                <w:sz w:val="28"/>
                <w:szCs w:val="28"/>
                <w:rtl/>
              </w:rPr>
            </w:pPr>
            <w:sdt>
              <w:sdtPr>
                <w:rPr>
                  <w:rtl/>
                </w:rPr>
                <w:alias w:val="1184"/>
                <w:tag w:val="1184"/>
                <w:id w:val="-910234160"/>
                <w:text w:multiLine="1"/>
              </w:sdtPr>
              <w:sdtEndPr/>
              <w:sdtContent>
                <w:r w:rsidR="00A3601F">
                  <w:rPr>
                    <w:b/>
                    <w:bCs/>
                    <w:noProof w:val="0"/>
                    <w:sz w:val="28"/>
                    <w:rtl/>
                  </w:rPr>
                  <w:t>משיבים</w:t>
                </w:r>
              </w:sdtContent>
            </w:sdt>
          </w:p>
        </w:tc>
        <w:tc>
          <w:tcPr>
            <w:tcW w:w="5571" w:type="dxa"/>
          </w:tcPr>
          <w:p w:rsidR="00A3601F" w:rsidRDefault="00A3601F">
            <w:pPr>
              <w:rPr>
                <w:rFonts w:ascii="Arial (W1)" w:hAnsi="Arial (W1)"/>
                <w:b/>
                <w:bCs/>
                <w:noProof w:val="0"/>
                <w:sz w:val="28"/>
                <w:szCs w:val="28"/>
              </w:rPr>
            </w:pPr>
          </w:p>
          <w:p w:rsidR="00A3601F" w:rsidRDefault="000B5C73">
            <w:pPr>
              <w:rPr>
                <w:rFonts w:ascii="Arial (W1)" w:hAnsi="Arial (W1)"/>
                <w:b/>
                <w:bCs/>
                <w:noProof w:val="0"/>
                <w:sz w:val="28"/>
                <w:szCs w:val="28"/>
                <w:rtl/>
              </w:rPr>
            </w:pPr>
            <w:sdt>
              <w:sdtPr>
                <w:rPr>
                  <w:rtl/>
                </w:rPr>
                <w:alias w:val="1571"/>
                <w:tag w:val="1571"/>
                <w:id w:val="-1361515445"/>
                <w:text w:multiLine="1"/>
              </w:sdtPr>
              <w:sdtEndPr/>
              <w:sdtContent>
                <w:r w:rsidR="00A3601F">
                  <w:rPr>
                    <w:b/>
                    <w:bCs/>
                    <w:noProof w:val="0"/>
                    <w:sz w:val="28"/>
                    <w:rtl/>
                  </w:rPr>
                  <w:t>1</w:t>
                </w:r>
              </w:sdtContent>
            </w:sdt>
            <w:r w:rsidR="00A3601F">
              <w:rPr>
                <w:b/>
                <w:bCs/>
                <w:noProof w:val="0"/>
                <w:sz w:val="28"/>
                <w:rtl/>
              </w:rPr>
              <w:t>.</w:t>
            </w:r>
            <w:sdt>
              <w:sdtPr>
                <w:rPr>
                  <w:b/>
                  <w:bCs/>
                  <w:noProof w:val="0"/>
                  <w:sz w:val="28"/>
                  <w:rtl/>
                </w:rPr>
                <w:alias w:val="1486"/>
                <w:tag w:val="1486"/>
                <w:id w:val="1487590763"/>
                <w:text w:multiLine="1"/>
              </w:sdtPr>
              <w:sdtEndPr/>
              <w:sdtContent>
                <w:r w:rsidR="00A3601F">
                  <w:rPr>
                    <w:b/>
                    <w:bCs/>
                    <w:noProof w:val="0"/>
                    <w:sz w:val="28"/>
                    <w:rtl/>
                  </w:rPr>
                  <w:t>האפוטרופוס הכללי במחוז דרום</w:t>
                </w:r>
              </w:sdtContent>
            </w:sdt>
            <w:r w:rsidR="00A3601F">
              <w:rPr>
                <w:b/>
                <w:bCs/>
                <w:noProof w:val="0"/>
                <w:sz w:val="28"/>
                <w:rtl/>
              </w:rPr>
              <w:t xml:space="preserve"> </w:t>
            </w:r>
            <w:sdt>
              <w:sdtPr>
                <w:rPr>
                  <w:b/>
                  <w:bCs/>
                  <w:noProof w:val="0"/>
                  <w:sz w:val="28"/>
                  <w:rtl/>
                </w:rPr>
                <w:alias w:val="2317"/>
                <w:tag w:val="2317"/>
                <w:id w:val="1321767079"/>
                <w:placeholder>
                  <w:docPart w:val="B2211987512C4D8E896A182EDD04AFDC"/>
                </w:placeholder>
                <w:text w:multiLine="1"/>
              </w:sdtPr>
              <w:sdtEndPr/>
              <w:sdtContent>
                <w:r w:rsidR="00A3601F">
                  <w:rPr>
                    <w:b/>
                    <w:bCs/>
                    <w:noProof w:val="0"/>
                    <w:sz w:val="28"/>
                    <w:rtl/>
                  </w:rPr>
                  <w:t>משרדי ממשלה</w:t>
                </w:r>
              </w:sdtContent>
            </w:sdt>
            <w:r w:rsidR="00A3601F">
              <w:rPr>
                <w:b/>
                <w:bCs/>
                <w:noProof w:val="0"/>
                <w:sz w:val="28"/>
                <w:rtl/>
              </w:rPr>
              <w:t xml:space="preserve"> </w:t>
            </w:r>
            <w:sdt>
              <w:sdtPr>
                <w:rPr>
                  <w:b/>
                  <w:bCs/>
                  <w:noProof w:val="0"/>
                  <w:sz w:val="28"/>
                  <w:rtl/>
                </w:rPr>
                <w:alias w:val="2318"/>
                <w:tag w:val="2318"/>
                <w:id w:val="885834417"/>
                <w:lock w:val="contentLocked"/>
                <w:placeholder>
                  <w:docPart w:val="8B452B940C8D4D12BFF18AE1DB08EAD9"/>
                </w:placeholder>
                <w:text w:multiLine="1"/>
              </w:sdtPr>
              <w:sdtEndPr/>
              <w:sdtContent>
                <w:r w:rsidR="00A3601F">
                  <w:rPr>
                    <w:b/>
                    <w:bCs/>
                    <w:noProof w:val="0"/>
                    <w:sz w:val="28"/>
                    <w:rtl/>
                  </w:rPr>
                  <w:t>999012</w:t>
                </w:r>
              </w:sdtContent>
            </w:sdt>
            <w:r w:rsidR="00A3601F">
              <w:rPr>
                <w:rtl/>
              </w:rPr>
              <w:t xml:space="preserve"> </w:t>
            </w:r>
          </w:p>
          <w:p w:rsidR="00A3601F" w:rsidRDefault="000B5C73" w:rsidP="006C384D">
            <w:pPr>
              <w:rPr>
                <w:b/>
                <w:bCs/>
                <w:noProof w:val="0"/>
                <w:sz w:val="28"/>
              </w:rPr>
            </w:pPr>
            <w:sdt>
              <w:sdtPr>
                <w:rPr>
                  <w:rtl/>
                </w:rPr>
                <w:alias w:val="1571"/>
                <w:tag w:val="1571"/>
                <w:id w:val="-1539886024"/>
                <w:text w:multiLine="1"/>
              </w:sdtPr>
              <w:sdtEndPr/>
              <w:sdtContent>
                <w:r w:rsidR="00A3601F">
                  <w:rPr>
                    <w:b/>
                    <w:bCs/>
                    <w:noProof w:val="0"/>
                    <w:sz w:val="28"/>
                    <w:rtl/>
                  </w:rPr>
                  <w:t>2</w:t>
                </w:r>
              </w:sdtContent>
            </w:sdt>
            <w:r w:rsidR="00A3601F">
              <w:rPr>
                <w:b/>
                <w:bCs/>
                <w:noProof w:val="0"/>
                <w:sz w:val="28"/>
                <w:rtl/>
              </w:rPr>
              <w:t>.</w:t>
            </w:r>
            <w:sdt>
              <w:sdtPr>
                <w:rPr>
                  <w:b/>
                  <w:bCs/>
                  <w:noProof w:val="0"/>
                  <w:sz w:val="28"/>
                  <w:rtl/>
                </w:rPr>
                <w:alias w:val="1486"/>
                <w:tag w:val="1486"/>
                <w:id w:val="1857843145"/>
                <w:text w:multiLine="1"/>
              </w:sdtPr>
              <w:sdtEndPr/>
              <w:sdtContent>
                <w:r w:rsidR="006C384D">
                  <w:rPr>
                    <w:rFonts w:hint="cs"/>
                    <w:b/>
                    <w:bCs/>
                    <w:noProof w:val="0"/>
                    <w:sz w:val="28"/>
                    <w:rtl/>
                  </w:rPr>
                  <w:t>י.כ</w:t>
                </w:r>
              </w:sdtContent>
            </w:sdt>
            <w:r w:rsidR="00A3601F">
              <w:rPr>
                <w:b/>
                <w:bCs/>
                <w:noProof w:val="0"/>
                <w:sz w:val="28"/>
                <w:rtl/>
              </w:rPr>
              <w:t xml:space="preserve"> </w:t>
            </w:r>
            <w:sdt>
              <w:sdtPr>
                <w:rPr>
                  <w:b/>
                  <w:bCs/>
                  <w:noProof w:val="0"/>
                  <w:sz w:val="28"/>
                  <w:rtl/>
                </w:rPr>
                <w:alias w:val="2317"/>
                <w:tag w:val="2317"/>
                <w:id w:val="-946384154"/>
                <w:placeholder>
                  <w:docPart w:val="B2211987512C4D8E896A182EDD04AFDC"/>
                </w:placeholder>
                <w:text w:multiLine="1"/>
              </w:sdtPr>
              <w:sdtEndPr/>
              <w:sdtContent>
                <w:r w:rsidR="00A3601F">
                  <w:rPr>
                    <w:b/>
                    <w:bCs/>
                    <w:noProof w:val="0"/>
                    <w:sz w:val="28"/>
                    <w:rtl/>
                  </w:rPr>
                  <w:t>ת"ז</w:t>
                </w:r>
              </w:sdtContent>
            </w:sdt>
            <w:r w:rsidR="00A3601F">
              <w:rPr>
                <w:b/>
                <w:bCs/>
                <w:noProof w:val="0"/>
                <w:sz w:val="28"/>
                <w:rtl/>
              </w:rPr>
              <w:t xml:space="preserve"> </w:t>
            </w:r>
            <w:r w:rsidR="006C384D">
              <w:rPr>
                <w:rFonts w:hint="cs"/>
                <w:b/>
                <w:bCs/>
                <w:noProof w:val="0"/>
                <w:sz w:val="28"/>
              </w:rPr>
              <w:t>XXX</w:t>
            </w:r>
          </w:p>
          <w:p w:rsidR="00A3601F" w:rsidRDefault="00A3601F">
            <w:pPr>
              <w:rPr>
                <w:b/>
                <w:bCs/>
                <w:rtl/>
              </w:rPr>
            </w:pPr>
            <w:r>
              <w:rPr>
                <w:b/>
                <w:bCs/>
                <w:rtl/>
              </w:rPr>
              <w:t xml:space="preserve">ע"י ב"כ עו"ד חיים גלעדי </w:t>
            </w:r>
          </w:p>
          <w:p w:rsidR="00A3601F" w:rsidRDefault="000B5C73" w:rsidP="006C384D">
            <w:pPr>
              <w:rPr>
                <w:b/>
                <w:bCs/>
                <w:noProof w:val="0"/>
                <w:sz w:val="28"/>
                <w:rtl/>
              </w:rPr>
            </w:pPr>
            <w:sdt>
              <w:sdtPr>
                <w:rPr>
                  <w:rtl/>
                </w:rPr>
                <w:alias w:val="1571"/>
                <w:tag w:val="1571"/>
                <w:id w:val="-1665233062"/>
                <w:text w:multiLine="1"/>
              </w:sdtPr>
              <w:sdtEndPr/>
              <w:sdtContent>
                <w:r w:rsidR="00A3601F">
                  <w:rPr>
                    <w:b/>
                    <w:bCs/>
                    <w:noProof w:val="0"/>
                    <w:sz w:val="28"/>
                    <w:rtl/>
                  </w:rPr>
                  <w:t>3</w:t>
                </w:r>
              </w:sdtContent>
            </w:sdt>
            <w:r w:rsidR="00A3601F">
              <w:rPr>
                <w:b/>
                <w:bCs/>
                <w:noProof w:val="0"/>
                <w:sz w:val="28"/>
                <w:rtl/>
              </w:rPr>
              <w:t>.</w:t>
            </w:r>
            <w:sdt>
              <w:sdtPr>
                <w:rPr>
                  <w:b/>
                  <w:bCs/>
                  <w:noProof w:val="0"/>
                  <w:sz w:val="28"/>
                  <w:rtl/>
                </w:rPr>
                <w:alias w:val="1486"/>
                <w:tag w:val="1486"/>
                <w:id w:val="618189638"/>
                <w:text w:multiLine="1"/>
              </w:sdtPr>
              <w:sdtEndPr/>
              <w:sdtContent>
                <w:r w:rsidR="006C384D">
                  <w:rPr>
                    <w:b/>
                    <w:bCs/>
                    <w:noProof w:val="0"/>
                    <w:sz w:val="28"/>
                    <w:rtl/>
                  </w:rPr>
                  <w:t>ח</w:t>
                </w:r>
                <w:r w:rsidR="006C384D">
                  <w:rPr>
                    <w:rFonts w:hint="cs"/>
                    <w:b/>
                    <w:bCs/>
                    <w:noProof w:val="0"/>
                    <w:sz w:val="28"/>
                    <w:rtl/>
                  </w:rPr>
                  <w:t>.כ.</w:t>
                </w:r>
              </w:sdtContent>
            </w:sdt>
            <w:r w:rsidR="00A3601F">
              <w:rPr>
                <w:b/>
                <w:bCs/>
                <w:noProof w:val="0"/>
                <w:sz w:val="28"/>
                <w:rtl/>
              </w:rPr>
              <w:t xml:space="preserve"> </w:t>
            </w:r>
            <w:sdt>
              <w:sdtPr>
                <w:rPr>
                  <w:b/>
                  <w:bCs/>
                  <w:noProof w:val="0"/>
                  <w:sz w:val="28"/>
                  <w:rtl/>
                </w:rPr>
                <w:alias w:val="2317"/>
                <w:tag w:val="2317"/>
                <w:id w:val="-1927254215"/>
                <w:placeholder>
                  <w:docPart w:val="B2211987512C4D8E896A182EDD04AFDC"/>
                </w:placeholder>
                <w:text w:multiLine="1"/>
              </w:sdtPr>
              <w:sdtEndPr/>
              <w:sdtContent>
                <w:r w:rsidR="00A3601F">
                  <w:rPr>
                    <w:b/>
                    <w:bCs/>
                    <w:noProof w:val="0"/>
                    <w:sz w:val="28"/>
                    <w:rtl/>
                  </w:rPr>
                  <w:t>ת"ז</w:t>
                </w:r>
              </w:sdtContent>
            </w:sdt>
            <w:r w:rsidR="00A3601F">
              <w:rPr>
                <w:b/>
                <w:bCs/>
                <w:noProof w:val="0"/>
                <w:sz w:val="28"/>
                <w:rtl/>
              </w:rPr>
              <w:t xml:space="preserve"> </w:t>
            </w:r>
            <w:r w:rsidR="006C384D">
              <w:rPr>
                <w:rFonts w:hint="cs"/>
                <w:b/>
                <w:bCs/>
                <w:noProof w:val="0"/>
                <w:sz w:val="28"/>
              </w:rPr>
              <w:t>XXX</w:t>
            </w:r>
          </w:p>
          <w:p w:rsidR="00A3601F" w:rsidRDefault="00A3601F">
            <w:pPr>
              <w:rPr>
                <w:rFonts w:ascii="Arial (W1)" w:hAnsi="Arial (W1)"/>
                <w:b/>
                <w:bCs/>
                <w:noProof w:val="0"/>
                <w:sz w:val="28"/>
                <w:szCs w:val="28"/>
                <w:rtl/>
              </w:rPr>
            </w:pPr>
            <w:r>
              <w:rPr>
                <w:b/>
                <w:bCs/>
                <w:rtl/>
              </w:rPr>
              <w:t xml:space="preserve">ע"י ב"כ עו"ד רענן פלץ </w:t>
            </w:r>
          </w:p>
        </w:tc>
      </w:tr>
      <w:tr w:rsidR="00A3601F" w:rsidTr="00A3601F">
        <w:trPr>
          <w:jc w:val="center"/>
        </w:trPr>
        <w:tc>
          <w:tcPr>
            <w:tcW w:w="8820" w:type="dxa"/>
            <w:gridSpan w:val="3"/>
          </w:tcPr>
          <w:p w:rsidR="00A3601F" w:rsidRDefault="00A3601F">
            <w:pPr>
              <w:rPr>
                <w:rFonts w:ascii="Arial (W1)" w:hAnsi="Arial (W1)"/>
                <w:b/>
                <w:bCs/>
                <w:noProof w:val="0"/>
                <w:sz w:val="28"/>
                <w:szCs w:val="28"/>
              </w:rPr>
            </w:pPr>
          </w:p>
          <w:p w:rsidR="00A3601F" w:rsidRDefault="00A3601F">
            <w:pPr>
              <w:rPr>
                <w:rFonts w:ascii="Arial (W1)" w:hAnsi="Arial (W1)"/>
                <w:b/>
                <w:bCs/>
                <w:noProof w:val="0"/>
                <w:sz w:val="28"/>
                <w:szCs w:val="28"/>
                <w:rtl/>
              </w:rPr>
            </w:pPr>
          </w:p>
          <w:p w:rsidR="00A3601F" w:rsidRDefault="00A3601F" w:rsidP="006C384D">
            <w:pPr>
              <w:rPr>
                <w:rFonts w:ascii="Arial (W1)" w:hAnsi="Arial (W1)"/>
                <w:b/>
                <w:bCs/>
                <w:noProof w:val="0"/>
                <w:sz w:val="28"/>
                <w:szCs w:val="28"/>
              </w:rPr>
            </w:pPr>
            <w:r>
              <w:rPr>
                <w:rFonts w:ascii="Arial (W1)" w:hAnsi="Arial (W1)"/>
                <w:b/>
                <w:bCs/>
                <w:noProof w:val="0"/>
                <w:sz w:val="28"/>
                <w:szCs w:val="28"/>
                <w:rtl/>
              </w:rPr>
              <w:t xml:space="preserve">בעניין </w:t>
            </w:r>
            <w:sdt>
              <w:sdtPr>
                <w:rPr>
                  <w:b/>
                  <w:bCs/>
                  <w:noProof w:val="0"/>
                  <w:sz w:val="28"/>
                  <w:rtl/>
                </w:rPr>
                <w:alias w:val="1486"/>
                <w:tag w:val="1486"/>
                <w:id w:val="-1402663497"/>
                <w:text w:multiLine="1"/>
              </w:sdtPr>
              <w:sdtEndPr/>
              <w:sdtContent>
                <w:r w:rsidR="006C384D">
                  <w:rPr>
                    <w:b/>
                    <w:bCs/>
                    <w:noProof w:val="0"/>
                    <w:sz w:val="28"/>
                    <w:rtl/>
                  </w:rPr>
                  <w:t xml:space="preserve"> המנוח ס</w:t>
                </w:r>
                <w:r w:rsidR="006C384D">
                  <w:rPr>
                    <w:rFonts w:hint="cs"/>
                    <w:b/>
                    <w:bCs/>
                    <w:noProof w:val="0"/>
                    <w:sz w:val="28"/>
                    <w:rtl/>
                  </w:rPr>
                  <w:t>.כ.</w:t>
                </w:r>
                <w:r>
                  <w:rPr>
                    <w:b/>
                    <w:bCs/>
                    <w:noProof w:val="0"/>
                    <w:sz w:val="28"/>
                    <w:rtl/>
                  </w:rPr>
                  <w:t xml:space="preserve"> ז"ל (להלן: "המנוח")</w:t>
                </w:r>
              </w:sdtContent>
            </w:sdt>
            <w:r>
              <w:rPr>
                <w:b/>
                <w:bCs/>
                <w:noProof w:val="0"/>
                <w:sz w:val="28"/>
                <w:rtl/>
              </w:rPr>
              <w:t xml:space="preserve"> </w:t>
            </w:r>
            <w:sdt>
              <w:sdtPr>
                <w:rPr>
                  <w:b/>
                  <w:bCs/>
                  <w:noProof w:val="0"/>
                  <w:sz w:val="28"/>
                  <w:rtl/>
                </w:rPr>
                <w:alias w:val="2317"/>
                <w:tag w:val="2317"/>
                <w:id w:val="1623658552"/>
                <w:placeholder>
                  <w:docPart w:val="3D034CFE8DAB4C948F11718D60D120C5"/>
                </w:placeholder>
                <w:text w:multiLine="1"/>
              </w:sdtPr>
              <w:sdtEndPr/>
              <w:sdtContent>
                <w:r>
                  <w:rPr>
                    <w:b/>
                    <w:bCs/>
                    <w:noProof w:val="0"/>
                    <w:sz w:val="28"/>
                    <w:rtl/>
                  </w:rPr>
                  <w:t>ת"ז</w:t>
                </w:r>
              </w:sdtContent>
            </w:sdt>
            <w:r>
              <w:rPr>
                <w:b/>
                <w:bCs/>
                <w:noProof w:val="0"/>
                <w:sz w:val="28"/>
                <w:rtl/>
              </w:rPr>
              <w:t xml:space="preserve"> </w:t>
            </w:r>
            <w:r w:rsidR="006C384D">
              <w:rPr>
                <w:rFonts w:ascii="Arial (W1)" w:hAnsi="Arial (W1)" w:hint="cs"/>
                <w:b/>
                <w:bCs/>
                <w:noProof w:val="0"/>
                <w:sz w:val="28"/>
                <w:szCs w:val="28"/>
              </w:rPr>
              <w:t>XXX</w:t>
            </w:r>
          </w:p>
        </w:tc>
      </w:tr>
      <w:tr w:rsidR="00A3601F" w:rsidTr="00A3601F">
        <w:trPr>
          <w:jc w:val="center"/>
        </w:trPr>
        <w:tc>
          <w:tcPr>
            <w:tcW w:w="3249" w:type="dxa"/>
            <w:gridSpan w:val="2"/>
          </w:tcPr>
          <w:p w:rsidR="00A3601F" w:rsidRDefault="00A3601F">
            <w:pPr>
              <w:rPr>
                <w:rFonts w:ascii="David" w:eastAsia="David" w:hAnsi="David"/>
                <w:noProof w:val="0"/>
                <w:rtl/>
              </w:rPr>
            </w:pPr>
          </w:p>
        </w:tc>
        <w:tc>
          <w:tcPr>
            <w:tcW w:w="5571" w:type="dxa"/>
          </w:tcPr>
          <w:p w:rsidR="00A3601F" w:rsidRDefault="00A3601F">
            <w:pPr>
              <w:rPr>
                <w:rFonts w:cs="Times New Roman"/>
              </w:rPr>
            </w:pPr>
          </w:p>
        </w:tc>
      </w:tr>
    </w:tbl>
    <w:p w:rsidR="00A3601F" w:rsidRDefault="00A3601F" w:rsidP="00A3601F">
      <w:pPr>
        <w:suppressLineNumbers/>
        <w:rPr>
          <w:rFonts w:ascii="Arial (W1)" w:hAnsi="Arial (W1)"/>
          <w:sz w:val="28"/>
          <w:szCs w:val="28"/>
        </w:rPr>
      </w:pPr>
    </w:p>
    <w:p w:rsidR="00A3601F" w:rsidRDefault="00A3601F" w:rsidP="00A3601F">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3601F" w:rsidTr="00A3601F">
        <w:trPr>
          <w:jc w:val="center"/>
        </w:trPr>
        <w:tc>
          <w:tcPr>
            <w:tcW w:w="8820" w:type="dxa"/>
            <w:hideMark/>
          </w:tcPr>
          <w:p w:rsidR="00A3601F" w:rsidRDefault="00A3601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3601F" w:rsidRDefault="00A3601F" w:rsidP="00A3601F">
      <w:pPr>
        <w:spacing w:line="360" w:lineRule="auto"/>
        <w:jc w:val="both"/>
        <w:rPr>
          <w:rFonts w:ascii="Arial" w:hAnsi="Arial"/>
          <w:noProof w:val="0"/>
        </w:rPr>
      </w:pPr>
    </w:p>
    <w:p w:rsidR="00A3601F" w:rsidRDefault="00A3601F" w:rsidP="006C384D">
      <w:pPr>
        <w:pStyle w:val="ac"/>
        <w:spacing w:line="360" w:lineRule="auto"/>
        <w:jc w:val="both"/>
        <w:rPr>
          <w:rFonts w:ascii="David" w:hAnsi="David"/>
          <w:noProof w:val="0"/>
          <w:rtl/>
        </w:rPr>
      </w:pPr>
      <w:r>
        <w:rPr>
          <w:rFonts w:ascii="David" w:hAnsi="David"/>
          <w:rtl/>
        </w:rPr>
        <w:t>שתי בקשות לביטול צ</w:t>
      </w:r>
      <w:r w:rsidR="006C384D">
        <w:rPr>
          <w:rFonts w:ascii="David" w:hAnsi="David"/>
          <w:rtl/>
        </w:rPr>
        <w:t>ו קיום צוואתו של המנוח ס</w:t>
      </w:r>
      <w:r w:rsidR="006C384D">
        <w:rPr>
          <w:rFonts w:ascii="David" w:hAnsi="David" w:hint="cs"/>
          <w:rtl/>
        </w:rPr>
        <w:t>.כ.</w:t>
      </w:r>
      <w:r>
        <w:rPr>
          <w:rFonts w:ascii="David" w:hAnsi="David"/>
          <w:rtl/>
        </w:rPr>
        <w:t xml:space="preserve"> ז"ל מיום 26.5.10, שניתן ביום 26.12.19 (להלן: "</w:t>
      </w:r>
      <w:r>
        <w:rPr>
          <w:rFonts w:ascii="David" w:hAnsi="David"/>
          <w:b/>
          <w:bCs/>
          <w:rtl/>
        </w:rPr>
        <w:t>הבקשות</w:t>
      </w:r>
      <w:r>
        <w:rPr>
          <w:rFonts w:ascii="David" w:hAnsi="David"/>
          <w:rtl/>
        </w:rPr>
        <w:t>", "</w:t>
      </w:r>
      <w:r>
        <w:rPr>
          <w:rFonts w:ascii="David" w:hAnsi="David"/>
          <w:b/>
          <w:bCs/>
          <w:rtl/>
        </w:rPr>
        <w:t>הצוואה</w:t>
      </w:r>
      <w:r>
        <w:rPr>
          <w:rFonts w:ascii="David" w:hAnsi="David"/>
          <w:rtl/>
        </w:rPr>
        <w:t>", "</w:t>
      </w:r>
      <w:r>
        <w:rPr>
          <w:rFonts w:ascii="David" w:hAnsi="David"/>
          <w:b/>
          <w:bCs/>
          <w:rtl/>
        </w:rPr>
        <w:t>המנוח</w:t>
      </w:r>
      <w:r>
        <w:rPr>
          <w:rFonts w:ascii="David" w:hAnsi="David"/>
          <w:rtl/>
        </w:rPr>
        <w:t>" ו"</w:t>
      </w:r>
      <w:r>
        <w:rPr>
          <w:rFonts w:ascii="David" w:hAnsi="David"/>
          <w:b/>
          <w:bCs/>
          <w:rtl/>
        </w:rPr>
        <w:t>הצו</w:t>
      </w:r>
      <w:r>
        <w:rPr>
          <w:rFonts w:ascii="David" w:hAnsi="David"/>
          <w:rtl/>
        </w:rPr>
        <w:t>", בהתאמה). הצוואה עצמה היא צוואה בעדים, ואחד העד</w:t>
      </w:r>
      <w:r w:rsidR="006C384D">
        <w:rPr>
          <w:rFonts w:ascii="David" w:hAnsi="David"/>
          <w:rtl/>
        </w:rPr>
        <w:t>ים לה הוא עורך הצוואה, עו"ד א</w:t>
      </w:r>
      <w:r w:rsidR="006C384D">
        <w:rPr>
          <w:rFonts w:ascii="David" w:hAnsi="David" w:hint="cs"/>
          <w:rtl/>
        </w:rPr>
        <w:t>.ב.י.</w:t>
      </w:r>
      <w:r>
        <w:rPr>
          <w:rFonts w:ascii="David" w:hAnsi="David"/>
          <w:rtl/>
        </w:rPr>
        <w:t xml:space="preserve"> </w:t>
      </w:r>
    </w:p>
    <w:p w:rsidR="00A3601F" w:rsidRDefault="00A3601F" w:rsidP="00A3601F">
      <w:pPr>
        <w:pStyle w:val="ac"/>
        <w:spacing w:line="360" w:lineRule="auto"/>
        <w:jc w:val="both"/>
        <w:rPr>
          <w:rFonts w:ascii="David" w:hAnsi="David"/>
        </w:rPr>
      </w:pPr>
      <w:r>
        <w:rPr>
          <w:rFonts w:ascii="David" w:hAnsi="David"/>
          <w:rtl/>
        </w:rPr>
        <w:t>ת"ע 42380-02-20 היא בקשת בנו של המנ</w:t>
      </w:r>
      <w:r w:rsidR="006C384D">
        <w:rPr>
          <w:rFonts w:ascii="David" w:hAnsi="David"/>
          <w:rtl/>
        </w:rPr>
        <w:t>וח, י</w:t>
      </w:r>
      <w:r w:rsidR="006C384D">
        <w:rPr>
          <w:rFonts w:ascii="David" w:hAnsi="David" w:hint="cs"/>
          <w:rtl/>
        </w:rPr>
        <w:t>'</w:t>
      </w:r>
      <w:r>
        <w:rPr>
          <w:rFonts w:ascii="David" w:hAnsi="David"/>
          <w:rtl/>
        </w:rPr>
        <w:t>, לביטול הצו.</w:t>
      </w:r>
    </w:p>
    <w:p w:rsidR="00A3601F" w:rsidRDefault="00A3601F" w:rsidP="00A3601F">
      <w:pPr>
        <w:pStyle w:val="ac"/>
        <w:spacing w:line="360" w:lineRule="auto"/>
        <w:jc w:val="both"/>
        <w:rPr>
          <w:rFonts w:ascii="David" w:hAnsi="David"/>
          <w:rtl/>
        </w:rPr>
      </w:pPr>
      <w:r>
        <w:rPr>
          <w:rFonts w:ascii="David" w:hAnsi="David"/>
          <w:rtl/>
        </w:rPr>
        <w:t>ת</w:t>
      </w:r>
      <w:r w:rsidR="006C384D">
        <w:rPr>
          <w:rFonts w:ascii="David" w:hAnsi="David"/>
          <w:rtl/>
        </w:rPr>
        <w:t>"ע 42417-02-20 היא בקשת בתו, ח</w:t>
      </w:r>
      <w:r w:rsidR="006C384D">
        <w:rPr>
          <w:rFonts w:ascii="David" w:hAnsi="David" w:hint="cs"/>
          <w:rtl/>
        </w:rPr>
        <w:t>'</w:t>
      </w:r>
      <w:r>
        <w:rPr>
          <w:rFonts w:ascii="David" w:hAnsi="David"/>
          <w:rtl/>
        </w:rPr>
        <w:t>, לביטול הצו.</w:t>
      </w:r>
    </w:p>
    <w:p w:rsidR="00A3601F" w:rsidRDefault="00A3601F" w:rsidP="00A3601F">
      <w:pPr>
        <w:pStyle w:val="ac"/>
        <w:spacing w:line="360" w:lineRule="auto"/>
        <w:jc w:val="both"/>
        <w:rPr>
          <w:rFonts w:ascii="David" w:hAnsi="David"/>
          <w:rtl/>
        </w:rPr>
      </w:pPr>
      <w:r>
        <w:rPr>
          <w:rFonts w:ascii="David" w:hAnsi="David"/>
          <w:rtl/>
        </w:rPr>
        <w:t>ת"ע 41980-02-20 הוא הליך הבקשה לקיום צוואה, שהועברה לצד תיקי הבקשות, לבית משפט זה.</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הבקשות הועברו לטיפולי במהלך חודש מרס 2022.</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לנוחות הקריא</w:t>
      </w:r>
      <w:r w:rsidR="006C384D">
        <w:rPr>
          <w:rFonts w:ascii="David" w:hAnsi="David"/>
          <w:rtl/>
        </w:rPr>
        <w:t>ה יכונו מבקשי הביטול, י</w:t>
      </w:r>
      <w:r w:rsidR="006C384D">
        <w:rPr>
          <w:rFonts w:ascii="David" w:hAnsi="David" w:hint="cs"/>
          <w:rtl/>
        </w:rPr>
        <w:t>'</w:t>
      </w:r>
      <w:r w:rsidR="006C384D">
        <w:rPr>
          <w:rFonts w:ascii="David" w:hAnsi="David"/>
          <w:rtl/>
        </w:rPr>
        <w:t xml:space="preserve"> וח</w:t>
      </w:r>
      <w:r w:rsidR="006C384D">
        <w:rPr>
          <w:rFonts w:ascii="David" w:hAnsi="David" w:hint="cs"/>
          <w:rtl/>
        </w:rPr>
        <w:t>'</w:t>
      </w:r>
      <w:r>
        <w:rPr>
          <w:rFonts w:ascii="David" w:hAnsi="David"/>
          <w:rtl/>
        </w:rPr>
        <w:t>, ומנגד מבקש ה</w:t>
      </w:r>
      <w:r w:rsidR="006C384D">
        <w:rPr>
          <w:rFonts w:ascii="David" w:hAnsi="David"/>
          <w:rtl/>
        </w:rPr>
        <w:t>קיום, יה</w:t>
      </w:r>
      <w:r w:rsidR="006C384D">
        <w:rPr>
          <w:rFonts w:ascii="David" w:hAnsi="David" w:hint="cs"/>
          <w:rtl/>
        </w:rPr>
        <w:t>'</w:t>
      </w:r>
      <w:r>
        <w:rPr>
          <w:rFonts w:ascii="David" w:hAnsi="David"/>
          <w:rtl/>
        </w:rPr>
        <w:t>, בשמותיהם הפרטיים.</w:t>
      </w:r>
    </w:p>
    <w:p w:rsidR="00A3601F" w:rsidRDefault="00A3601F" w:rsidP="00A3601F">
      <w:pPr>
        <w:pStyle w:val="ac"/>
        <w:spacing w:line="360" w:lineRule="auto"/>
        <w:jc w:val="both"/>
        <w:rPr>
          <w:rFonts w:ascii="David" w:hAnsi="David"/>
          <w:b/>
          <w:bCs/>
          <w:u w:val="single"/>
          <w:rtl/>
        </w:rPr>
      </w:pPr>
    </w:p>
    <w:p w:rsidR="00A3601F" w:rsidRDefault="00A3601F" w:rsidP="00A3601F">
      <w:pPr>
        <w:pStyle w:val="ac"/>
        <w:spacing w:line="360" w:lineRule="auto"/>
        <w:jc w:val="both"/>
        <w:rPr>
          <w:rFonts w:ascii="David" w:hAnsi="David"/>
          <w:b/>
          <w:bCs/>
          <w:u w:val="single"/>
          <w:rtl/>
        </w:rPr>
      </w:pPr>
    </w:p>
    <w:p w:rsidR="00A3601F" w:rsidRDefault="00A3601F" w:rsidP="00A3601F">
      <w:pPr>
        <w:pStyle w:val="ac"/>
        <w:spacing w:line="360" w:lineRule="auto"/>
        <w:jc w:val="both"/>
        <w:rPr>
          <w:rFonts w:ascii="David" w:hAnsi="David"/>
          <w:b/>
          <w:bCs/>
          <w:u w:val="single"/>
          <w:rtl/>
        </w:rPr>
      </w:pPr>
    </w:p>
    <w:p w:rsidR="00A3601F" w:rsidRDefault="00A3601F" w:rsidP="00A3601F">
      <w:pPr>
        <w:pStyle w:val="ac"/>
        <w:spacing w:line="360" w:lineRule="auto"/>
        <w:jc w:val="both"/>
        <w:rPr>
          <w:rFonts w:ascii="David" w:hAnsi="David"/>
          <w:b/>
          <w:bCs/>
          <w:u w:val="single"/>
          <w:rtl/>
        </w:rPr>
      </w:pPr>
    </w:p>
    <w:p w:rsidR="00A3601F" w:rsidRDefault="00A3601F" w:rsidP="00A3601F">
      <w:pPr>
        <w:pStyle w:val="ac"/>
        <w:spacing w:line="360" w:lineRule="auto"/>
        <w:jc w:val="both"/>
        <w:rPr>
          <w:rFonts w:ascii="David" w:hAnsi="David"/>
          <w:b/>
          <w:bCs/>
          <w:u w:val="single"/>
          <w:rtl/>
        </w:rPr>
      </w:pPr>
    </w:p>
    <w:p w:rsidR="00A3601F" w:rsidRDefault="00A3601F" w:rsidP="00A3601F">
      <w:pPr>
        <w:pStyle w:val="ac"/>
        <w:spacing w:line="360" w:lineRule="auto"/>
        <w:jc w:val="both"/>
        <w:rPr>
          <w:rFonts w:ascii="David" w:hAnsi="David"/>
          <w:b/>
          <w:bCs/>
          <w:u w:val="single"/>
          <w:rtl/>
        </w:rPr>
      </w:pPr>
      <w:r>
        <w:rPr>
          <w:rFonts w:ascii="David" w:hAnsi="David"/>
          <w:b/>
          <w:bCs/>
          <w:u w:val="single"/>
          <w:rtl/>
        </w:rPr>
        <w:t>רקע כללי ודיוני</w:t>
      </w:r>
    </w:p>
    <w:p w:rsidR="00A3601F" w:rsidRDefault="00A3601F" w:rsidP="00A3601F">
      <w:pPr>
        <w:pStyle w:val="ac"/>
        <w:numPr>
          <w:ilvl w:val="0"/>
          <w:numId w:val="6"/>
        </w:numPr>
        <w:spacing w:after="160" w:line="360" w:lineRule="auto"/>
        <w:jc w:val="both"/>
        <w:rPr>
          <w:rFonts w:ascii="David" w:hAnsi="David"/>
          <w:rtl/>
        </w:rPr>
      </w:pPr>
      <w:r>
        <w:rPr>
          <w:rFonts w:ascii="David" w:hAnsi="David"/>
          <w:rtl/>
        </w:rPr>
        <w:t>במוקד טענותיהם של המבקשים, על פי הבקשות שהוגשו בחודש ינואר  2020, פחות מחודש לאחר מתן הצו, טענות שונות בדבר השפעה בלתי הוגנת ונטילת חלק בעריכתה של הצוואה, זיוף, היעדר כשירות של המנוח, פגמים בחתימה  כמו גם פגמים שונים בהליך הגשת הבקשה לצו קיום.</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לאור הגשת הבקשות, הורה כב' הרשם לענייני ירושה ביום 9.1.20 על עיכוב ביצועו של הצו, וביום 29.1.20 הורה על העברת ההליכים לבית המשפט.</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tl/>
        </w:rPr>
      </w:pPr>
      <w:r>
        <w:rPr>
          <w:rFonts w:ascii="David" w:hAnsi="David"/>
          <w:rtl/>
        </w:rPr>
        <w:t>נוהלו ה</w:t>
      </w:r>
      <w:r w:rsidR="00DB00E5">
        <w:rPr>
          <w:rFonts w:ascii="David" w:hAnsi="David"/>
          <w:rtl/>
        </w:rPr>
        <w:t>ליכי ביניים רבים, בהם בקשת י</w:t>
      </w:r>
      <w:r w:rsidR="00DB00E5">
        <w:rPr>
          <w:rFonts w:ascii="David" w:hAnsi="David" w:hint="cs"/>
          <w:rtl/>
        </w:rPr>
        <w:t>'</w:t>
      </w:r>
      <w:r>
        <w:rPr>
          <w:rFonts w:ascii="David" w:hAnsi="David"/>
          <w:rtl/>
        </w:rPr>
        <w:t xml:space="preserve"> (מבקש צו הקיום) לדחיית הבקשות על הסף, בקשה שנדחתה ביום 17.9.20.</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ביום 20.11.20 האריך בית המשפט את צו עיכוב הביצוע לצו קיום הצוואה.</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tl/>
        </w:rPr>
      </w:pPr>
      <w:r>
        <w:rPr>
          <w:rFonts w:ascii="David" w:hAnsi="David"/>
          <w:rtl/>
        </w:rPr>
        <w:t xml:space="preserve">בדיון מיום 23.2.21 הופנו הצדדים לישיבה לצורך קידום ההליך אצל כב' הנשיא (כתוארו אז) א' גביזון. אלא שבסופו של יום ישיבה במעמד כלל הצדדים לא התקיימה (ראו החלטות מימים 13.7.21 ו – 14.7.21). </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Pr>
      </w:pPr>
      <w:r>
        <w:rPr>
          <w:rFonts w:ascii="David" w:hAnsi="David"/>
          <w:rtl/>
        </w:rPr>
        <w:t xml:space="preserve">מונה גרפולוג ביום 19.10.21 כמומחה מטעם בית המשפט לבחינת אותנטיות החתימה. </w:t>
      </w:r>
    </w:p>
    <w:p w:rsidR="00A3601F" w:rsidRDefault="00A3601F" w:rsidP="00A3601F">
      <w:pPr>
        <w:pStyle w:val="ac"/>
        <w:rPr>
          <w:rFonts w:ascii="David" w:hAnsi="David"/>
          <w:rtl/>
        </w:rPr>
      </w:pPr>
    </w:p>
    <w:p w:rsidR="00A3601F" w:rsidRDefault="00A3601F" w:rsidP="00A3601F">
      <w:pPr>
        <w:pStyle w:val="ac"/>
        <w:numPr>
          <w:ilvl w:val="0"/>
          <w:numId w:val="6"/>
        </w:numPr>
        <w:spacing w:after="160" w:line="360" w:lineRule="auto"/>
        <w:jc w:val="both"/>
        <w:rPr>
          <w:rFonts w:ascii="David" w:hAnsi="David"/>
        </w:rPr>
      </w:pPr>
      <w:r>
        <w:rPr>
          <w:rFonts w:ascii="David" w:hAnsi="David"/>
          <w:rtl/>
        </w:rPr>
        <w:t>ביום 10.1.22 קיים בית המשפט קדם משפט, במסגרתו שריין שני מועדים לשמיעת הראיות.</w:t>
      </w:r>
    </w:p>
    <w:p w:rsidR="00A3601F" w:rsidRDefault="00A3601F" w:rsidP="00A3601F">
      <w:pPr>
        <w:pStyle w:val="ac"/>
        <w:rPr>
          <w:rFonts w:ascii="David" w:hAnsi="David"/>
          <w:rtl/>
        </w:rPr>
      </w:pPr>
    </w:p>
    <w:p w:rsidR="00A3601F" w:rsidRDefault="00A3601F" w:rsidP="00A3601F">
      <w:pPr>
        <w:pStyle w:val="ac"/>
        <w:numPr>
          <w:ilvl w:val="0"/>
          <w:numId w:val="6"/>
        </w:numPr>
        <w:spacing w:after="160" w:line="360" w:lineRule="auto"/>
        <w:jc w:val="both"/>
        <w:rPr>
          <w:rFonts w:ascii="David" w:hAnsi="David"/>
        </w:rPr>
      </w:pPr>
      <w:r>
        <w:rPr>
          <w:rFonts w:ascii="David" w:hAnsi="David"/>
          <w:rtl/>
        </w:rPr>
        <w:t xml:space="preserve">ביום 1.2.22 הוגשה חוות הדעת ולפיה קרוב מאד לוודאי שהחתימות על גבי הצוואה נחתמו על ידי המנוח. </w:t>
      </w:r>
    </w:p>
    <w:p w:rsidR="00A3601F" w:rsidRDefault="00A3601F" w:rsidP="00A3601F">
      <w:pPr>
        <w:pStyle w:val="ac"/>
        <w:rPr>
          <w:rFonts w:ascii="David" w:hAnsi="David"/>
          <w:rtl/>
        </w:rPr>
      </w:pPr>
    </w:p>
    <w:p w:rsidR="00A3601F" w:rsidRDefault="00A3601F" w:rsidP="00A3601F">
      <w:pPr>
        <w:pStyle w:val="ac"/>
        <w:numPr>
          <w:ilvl w:val="0"/>
          <w:numId w:val="6"/>
        </w:numPr>
        <w:spacing w:after="160" w:line="360" w:lineRule="auto"/>
        <w:jc w:val="both"/>
        <w:rPr>
          <w:rFonts w:ascii="David" w:hAnsi="David"/>
        </w:rPr>
      </w:pPr>
      <w:r>
        <w:rPr>
          <w:rFonts w:ascii="David" w:hAnsi="David"/>
          <w:rtl/>
        </w:rPr>
        <w:t xml:space="preserve">ביום 30.3.22 הועברו התובענות לטיפולי. </w:t>
      </w:r>
    </w:p>
    <w:p w:rsidR="00A3601F" w:rsidRDefault="00A3601F" w:rsidP="00A3601F">
      <w:pPr>
        <w:pStyle w:val="ac"/>
        <w:rPr>
          <w:rFonts w:ascii="David" w:hAnsi="David"/>
          <w:rtl/>
        </w:rPr>
      </w:pPr>
    </w:p>
    <w:p w:rsidR="00A3601F" w:rsidRDefault="00A3601F" w:rsidP="00A3601F">
      <w:pPr>
        <w:pStyle w:val="ac"/>
        <w:spacing w:line="360" w:lineRule="auto"/>
        <w:jc w:val="both"/>
        <w:rPr>
          <w:rFonts w:ascii="David" w:hAnsi="David"/>
        </w:rPr>
      </w:pPr>
      <w:r>
        <w:rPr>
          <w:rFonts w:ascii="David" w:hAnsi="David"/>
          <w:rtl/>
        </w:rPr>
        <w:t xml:space="preserve">הוגשו תצהירי בעלי הדין, וביום 21.11.22 קיימתי קדם משפט שעם תומו הוריתי על שמיעת הראיות. </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tl/>
        </w:rPr>
      </w:pPr>
      <w:r>
        <w:rPr>
          <w:rFonts w:ascii="David" w:hAnsi="David"/>
          <w:rtl/>
        </w:rPr>
        <w:t xml:space="preserve">ביום 15.3.23, </w:t>
      </w:r>
      <w:r>
        <w:rPr>
          <w:rFonts w:ascii="David" w:hAnsi="David"/>
          <w:u w:val="single"/>
          <w:rtl/>
        </w:rPr>
        <w:t>לבקשת מבקש קיום הצוואה</w:t>
      </w:r>
      <w:r>
        <w:rPr>
          <w:rFonts w:ascii="David" w:hAnsi="David"/>
          <w:rtl/>
        </w:rPr>
        <w:t>, הוריתי על זימונם של עדי הצוואה.</w:t>
      </w:r>
    </w:p>
    <w:p w:rsidR="00A3601F" w:rsidRDefault="00A3601F" w:rsidP="00A3601F">
      <w:pPr>
        <w:pStyle w:val="ac"/>
        <w:spacing w:line="360" w:lineRule="auto"/>
        <w:jc w:val="both"/>
        <w:rPr>
          <w:rFonts w:ascii="David" w:hAnsi="David"/>
          <w:rtl/>
        </w:rPr>
      </w:pPr>
      <w:r>
        <w:rPr>
          <w:rFonts w:ascii="David" w:hAnsi="David"/>
          <w:rtl/>
        </w:rPr>
        <w:t xml:space="preserve">ביום 17.4.23 החלה שמיעת הראיות בעדותו של </w:t>
      </w:r>
      <w:r w:rsidR="00DB00E5">
        <w:rPr>
          <w:rFonts w:ascii="David" w:hAnsi="David"/>
          <w:rtl/>
        </w:rPr>
        <w:t xml:space="preserve">עו"ד </w:t>
      </w:r>
      <w:r w:rsidR="00DB00E5">
        <w:rPr>
          <w:rFonts w:ascii="David" w:hAnsi="David" w:hint="cs"/>
          <w:rtl/>
        </w:rPr>
        <w:t>ב.י.</w:t>
      </w:r>
      <w:r>
        <w:rPr>
          <w:rFonts w:ascii="David" w:hAnsi="David"/>
          <w:rtl/>
        </w:rPr>
        <w:t xml:space="preserve">, עד הצוואה ועורכה, אשר הוזמן כאמור מטעם מבקש הקיום. </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tl/>
        </w:rPr>
      </w:pPr>
      <w:r>
        <w:rPr>
          <w:rFonts w:ascii="David" w:hAnsi="David"/>
          <w:b/>
          <w:bCs/>
          <w:rtl/>
        </w:rPr>
        <w:t xml:space="preserve">במסגרת שמיעת הראיות התברר כי ביום 19.8.12 ערך המנוח צוואה מאוחרת, </w:t>
      </w:r>
      <w:r w:rsidR="00DB00E5">
        <w:rPr>
          <w:rFonts w:ascii="David" w:hAnsi="David"/>
          <w:b/>
          <w:bCs/>
          <w:rtl/>
        </w:rPr>
        <w:t>אשר היתה אצל עורכה, עו"ד ב</w:t>
      </w:r>
      <w:r w:rsidR="00DB00E5">
        <w:rPr>
          <w:rFonts w:ascii="David" w:hAnsi="David" w:hint="cs"/>
          <w:b/>
          <w:bCs/>
          <w:rtl/>
        </w:rPr>
        <w:t>.י.</w:t>
      </w:r>
      <w:r>
        <w:rPr>
          <w:rFonts w:ascii="David" w:hAnsi="David"/>
          <w:b/>
          <w:bCs/>
          <w:rtl/>
        </w:rPr>
        <w:t xml:space="preserve"> (ת/2 ; </w:t>
      </w:r>
      <w:r>
        <w:rPr>
          <w:rFonts w:ascii="David" w:hAnsi="David"/>
          <w:rtl/>
        </w:rPr>
        <w:t>להלן:</w:t>
      </w:r>
      <w:r>
        <w:rPr>
          <w:rFonts w:ascii="David" w:hAnsi="David"/>
          <w:b/>
          <w:bCs/>
          <w:rtl/>
        </w:rPr>
        <w:t xml:space="preserve"> "הצוואה המאוחרת" </w:t>
      </w:r>
      <w:r>
        <w:rPr>
          <w:rFonts w:ascii="David" w:hAnsi="David"/>
          <w:rtl/>
        </w:rPr>
        <w:t xml:space="preserve">; ראו עמ' 10 לפרוטוקול הדיון המתומלל, אשר נשמר בתיק ת"ע 42380-02-20). </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Pr>
      </w:pPr>
      <w:r>
        <w:rPr>
          <w:rFonts w:ascii="David" w:hAnsi="David"/>
          <w:rtl/>
        </w:rPr>
        <w:t>כפועל יוצא, בהסכמת הצדדים הופסק הדיון, וניתנה החלטתי לפיה בנסיבות אלה, לכאורה קמה עילה נפרדת וחדשה לביטול הצו, ביחס לצוואה שכזכור נעשתה לפי הנטען בשנת 2010.</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tl/>
        </w:rPr>
      </w:pPr>
      <w:r>
        <w:rPr>
          <w:rFonts w:ascii="David" w:hAnsi="David"/>
          <w:rtl/>
        </w:rPr>
        <w:t xml:space="preserve">הואיל ומבקש הקיום לא היה נכון אותה העת להסכים לביטול הצו מעילה זו, ניתנה לצדדים שהות בדיון לטעון טיעוניהם וכן ניתנה למבקש הקיום שהות להודיע האם מוסכם שהצו יבוטל ללא הודאה בטענות. כן ניתנה למזכירות הוראה לשמירת הצוואה המקורית בכספת. </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b/>
          <w:bCs/>
          <w:u w:val="single"/>
        </w:rPr>
      </w:pPr>
      <w:r>
        <w:rPr>
          <w:rFonts w:ascii="David" w:hAnsi="David"/>
          <w:b/>
          <w:bCs/>
          <w:u w:val="single"/>
          <w:rtl/>
        </w:rPr>
        <w:t>תמצית טענות הצדדים</w:t>
      </w:r>
    </w:p>
    <w:p w:rsidR="00A3601F" w:rsidRDefault="00A3601F" w:rsidP="00A3601F">
      <w:pPr>
        <w:pStyle w:val="ac"/>
        <w:numPr>
          <w:ilvl w:val="0"/>
          <w:numId w:val="6"/>
        </w:numPr>
        <w:spacing w:after="160" w:line="360" w:lineRule="auto"/>
        <w:jc w:val="both"/>
        <w:rPr>
          <w:rFonts w:ascii="David" w:hAnsi="David"/>
          <w:rtl/>
        </w:rPr>
      </w:pPr>
      <w:r>
        <w:rPr>
          <w:rFonts w:ascii="David" w:hAnsi="David"/>
          <w:rtl/>
        </w:rPr>
        <w:t>בתגובת</w:t>
      </w:r>
      <w:r w:rsidR="00DB00E5">
        <w:rPr>
          <w:rFonts w:ascii="David" w:hAnsi="David"/>
          <w:rtl/>
        </w:rPr>
        <w:t>ו הכתובה מיום 20.4.23, מצא יה</w:t>
      </w:r>
      <w:r w:rsidR="00DB00E5">
        <w:rPr>
          <w:rFonts w:ascii="David" w:hAnsi="David" w:hint="cs"/>
          <w:rtl/>
        </w:rPr>
        <w:t>'</w:t>
      </w:r>
      <w:r>
        <w:rPr>
          <w:rFonts w:ascii="David" w:hAnsi="David"/>
          <w:rtl/>
        </w:rPr>
        <w:t xml:space="preserve"> לדחות את הצעת בית המשפט ולשיטתו על ההליך להימשך כס</w:t>
      </w:r>
      <w:r w:rsidR="00DB00E5">
        <w:rPr>
          <w:rFonts w:ascii="David" w:hAnsi="David"/>
          <w:rtl/>
        </w:rPr>
        <w:t>דרו. י</w:t>
      </w:r>
      <w:r w:rsidR="00DB00E5">
        <w:rPr>
          <w:rFonts w:ascii="David" w:hAnsi="David" w:hint="cs"/>
          <w:rtl/>
        </w:rPr>
        <w:t>ה'</w:t>
      </w:r>
      <w:r>
        <w:rPr>
          <w:rFonts w:ascii="David" w:hAnsi="David"/>
          <w:rtl/>
        </w:rPr>
        <w:t xml:space="preserve"> טוען כי הצוואה המאוחרת כלל איננה בבחינת צוואה שעה שלא נתבקש ולא נתקבל בעניינה צו קיום. בנוסף, עסקינן במסמך שתוכנו למעשה זהה לתוכן הצוואה נושא ההליכים שלפני כך שלשיטתו לאור הוראות סעיף 36 לחוק הירושה, התשכ"ה - 1965 אין צורך לקיימה על פני הצוואה ש</w:t>
      </w:r>
      <w:r w:rsidR="00DB00E5">
        <w:rPr>
          <w:rFonts w:ascii="David" w:hAnsi="David"/>
          <w:rtl/>
        </w:rPr>
        <w:t>כבר קוימה. יה</w:t>
      </w:r>
      <w:r w:rsidR="00DB00E5">
        <w:rPr>
          <w:rFonts w:ascii="David" w:hAnsi="David" w:hint="cs"/>
          <w:rtl/>
        </w:rPr>
        <w:t>'</w:t>
      </w:r>
      <w:r>
        <w:rPr>
          <w:rFonts w:ascii="David" w:hAnsi="David"/>
          <w:rtl/>
        </w:rPr>
        <w:t xml:space="preserve"> אף מלין כי מדובר בעילה שכלל לא נזכרה בבקשות המבקשים, ומדובר בהרח</w:t>
      </w:r>
      <w:r w:rsidR="00DB00E5">
        <w:rPr>
          <w:rFonts w:ascii="David" w:hAnsi="David"/>
          <w:rtl/>
        </w:rPr>
        <w:t>בת חזית לשיטתו. בנוסף טוען יה</w:t>
      </w:r>
      <w:r w:rsidR="00DB00E5">
        <w:rPr>
          <w:rFonts w:ascii="David" w:hAnsi="David" w:hint="cs"/>
          <w:rtl/>
        </w:rPr>
        <w:t>'</w:t>
      </w:r>
      <w:r>
        <w:rPr>
          <w:rFonts w:ascii="David" w:hAnsi="David"/>
          <w:rtl/>
        </w:rPr>
        <w:t xml:space="preserve"> להיעדר תום לב מצד מבקשי הביטול, שעה שעתירתם לביטול הצוואה תוביל לניהול מסורבל של ההליך ולקיום דיונים מרובים בצוואות שונות, שעה שמכלול הצוואות דומות בתוכנן (שכן ישנה צוואה מוקדמת לזו נושא ההליך שלפני).</w:t>
      </w:r>
    </w:p>
    <w:p w:rsidR="00A3601F" w:rsidRDefault="00A3601F" w:rsidP="00A3601F">
      <w:pPr>
        <w:pStyle w:val="ac"/>
        <w:spacing w:line="360" w:lineRule="auto"/>
        <w:jc w:val="both"/>
        <w:rPr>
          <w:rFonts w:ascii="David" w:hAnsi="David"/>
          <w:rtl/>
        </w:rPr>
      </w:pPr>
    </w:p>
    <w:p w:rsidR="00A3601F" w:rsidRDefault="00DB00E5" w:rsidP="00A3601F">
      <w:pPr>
        <w:pStyle w:val="ac"/>
        <w:numPr>
          <w:ilvl w:val="0"/>
          <w:numId w:val="6"/>
        </w:numPr>
        <w:spacing w:after="160" w:line="360" w:lineRule="auto"/>
        <w:jc w:val="both"/>
        <w:rPr>
          <w:rFonts w:ascii="David" w:hAnsi="David"/>
        </w:rPr>
      </w:pPr>
      <w:r>
        <w:rPr>
          <w:rFonts w:ascii="David" w:hAnsi="David"/>
          <w:rtl/>
        </w:rPr>
        <w:t>ח</w:t>
      </w:r>
      <w:r>
        <w:rPr>
          <w:rFonts w:ascii="David" w:hAnsi="David" w:hint="cs"/>
          <w:rtl/>
        </w:rPr>
        <w:t>'</w:t>
      </w:r>
      <w:r w:rsidR="00A3601F">
        <w:rPr>
          <w:rFonts w:ascii="David" w:hAnsi="David"/>
          <w:rtl/>
        </w:rPr>
        <w:t xml:space="preserve"> מבהירה בטיעוניה, כי עניינו של ההליך אך ביטולו של הצו, וממילא עת התגלה כי קיימת צוואה מאוחרת, בידה להגיש בקשה חדשה בע</w:t>
      </w:r>
      <w:r>
        <w:rPr>
          <w:rFonts w:ascii="David" w:hAnsi="David"/>
          <w:rtl/>
        </w:rPr>
        <w:t>ילה לפיה קיימת צוואה מאוחרת. ח</w:t>
      </w:r>
      <w:r>
        <w:rPr>
          <w:rFonts w:ascii="David" w:hAnsi="David" w:hint="cs"/>
          <w:rtl/>
        </w:rPr>
        <w:t>'</w:t>
      </w:r>
      <w:r w:rsidR="00A3601F">
        <w:rPr>
          <w:rFonts w:ascii="David" w:hAnsi="David"/>
          <w:rtl/>
        </w:rPr>
        <w:t xml:space="preserve"> מבהירה כי הלכה למעשה הצוואה המאוחרת הוסתרה </w:t>
      </w:r>
      <w:r>
        <w:rPr>
          <w:rFonts w:ascii="David" w:hAnsi="David"/>
          <w:rtl/>
        </w:rPr>
        <w:t>על ידי יה</w:t>
      </w:r>
      <w:r>
        <w:rPr>
          <w:rFonts w:ascii="David" w:hAnsi="David" w:hint="cs"/>
          <w:rtl/>
        </w:rPr>
        <w:t>'</w:t>
      </w:r>
      <w:r w:rsidR="00A3601F">
        <w:rPr>
          <w:rFonts w:ascii="David" w:hAnsi="David"/>
          <w:rtl/>
        </w:rPr>
        <w:t>, שעה שהוא עצמו הביא כעולה</w:t>
      </w:r>
      <w:r>
        <w:rPr>
          <w:rFonts w:ascii="David" w:hAnsi="David"/>
          <w:rtl/>
        </w:rPr>
        <w:t xml:space="preserve"> מדברי העד את המנוח למשרדו.  ח</w:t>
      </w:r>
      <w:r>
        <w:rPr>
          <w:rFonts w:ascii="David" w:hAnsi="David" w:hint="cs"/>
          <w:rtl/>
        </w:rPr>
        <w:t>'</w:t>
      </w:r>
      <w:r w:rsidR="00A3601F">
        <w:rPr>
          <w:rFonts w:ascii="David" w:hAnsi="David"/>
          <w:rtl/>
        </w:rPr>
        <w:t xml:space="preserve"> טוענת כי בשלב</w:t>
      </w:r>
      <w:r>
        <w:rPr>
          <w:rFonts w:ascii="David" w:hAnsi="David" w:hint="cs"/>
          <w:rtl/>
        </w:rPr>
        <w:t xml:space="preserve"> </w:t>
      </w:r>
      <w:r w:rsidR="00A3601F">
        <w:rPr>
          <w:rFonts w:ascii="David" w:hAnsi="David"/>
          <w:rtl/>
        </w:rPr>
        <w:t xml:space="preserve">זה רב הנסתר על הגלוי ולפיכך אין מקום להידרש </w:t>
      </w:r>
      <w:r w:rsidR="00A3601F">
        <w:rPr>
          <w:rFonts w:ascii="David" w:hAnsi="David"/>
          <w:rtl/>
        </w:rPr>
        <w:lastRenderedPageBreak/>
        <w:t>עתה לשאלת הדמיון או הש</w:t>
      </w:r>
      <w:r>
        <w:rPr>
          <w:rFonts w:ascii="David" w:hAnsi="David"/>
          <w:rtl/>
        </w:rPr>
        <w:t>וני שבין שתי הצוואות, תוך שיה</w:t>
      </w:r>
      <w:r>
        <w:rPr>
          <w:rFonts w:ascii="David" w:hAnsi="David" w:hint="cs"/>
          <w:rtl/>
        </w:rPr>
        <w:t>'</w:t>
      </w:r>
      <w:r w:rsidR="00A3601F">
        <w:rPr>
          <w:rFonts w:ascii="David" w:hAnsi="David"/>
          <w:rtl/>
        </w:rPr>
        <w:t xml:space="preserve"> עצמו הוא שמוביל לסרבול הדיון שלא לצורך.</w:t>
      </w:r>
    </w:p>
    <w:p w:rsidR="00A3601F" w:rsidRDefault="00A3601F" w:rsidP="00A3601F">
      <w:pPr>
        <w:pStyle w:val="ac"/>
        <w:rPr>
          <w:rFonts w:ascii="David" w:hAnsi="David"/>
          <w:rtl/>
        </w:rPr>
      </w:pPr>
    </w:p>
    <w:p w:rsidR="00A3601F" w:rsidRDefault="00A3601F" w:rsidP="00A3601F">
      <w:pPr>
        <w:pStyle w:val="ac"/>
        <w:spacing w:line="360" w:lineRule="auto"/>
        <w:jc w:val="both"/>
        <w:rPr>
          <w:rFonts w:ascii="David" w:hAnsi="David"/>
        </w:rPr>
      </w:pPr>
    </w:p>
    <w:p w:rsidR="00A3601F" w:rsidRDefault="00DB00E5" w:rsidP="00A3601F">
      <w:pPr>
        <w:pStyle w:val="ac"/>
        <w:numPr>
          <w:ilvl w:val="0"/>
          <w:numId w:val="6"/>
        </w:numPr>
        <w:spacing w:after="160" w:line="360" w:lineRule="auto"/>
        <w:jc w:val="both"/>
        <w:rPr>
          <w:rFonts w:ascii="David" w:hAnsi="David"/>
          <w:rtl/>
        </w:rPr>
      </w:pPr>
      <w:r>
        <w:rPr>
          <w:rFonts w:ascii="David" w:hAnsi="David"/>
          <w:rtl/>
        </w:rPr>
        <w:t>י</w:t>
      </w:r>
      <w:r>
        <w:rPr>
          <w:rFonts w:ascii="David" w:hAnsi="David" w:hint="cs"/>
          <w:rtl/>
        </w:rPr>
        <w:t>'</w:t>
      </w:r>
      <w:r w:rsidR="00A3601F">
        <w:rPr>
          <w:rFonts w:ascii="David" w:hAnsi="David"/>
          <w:rtl/>
        </w:rPr>
        <w:t xml:space="preserve"> טוען כי יש להורות על ביטול הצו, בשים לב לה</w:t>
      </w:r>
      <w:r>
        <w:rPr>
          <w:rFonts w:ascii="David" w:hAnsi="David"/>
          <w:rtl/>
        </w:rPr>
        <w:t>וראות סעיף 36 לחוק הירושה. י</w:t>
      </w:r>
      <w:r>
        <w:rPr>
          <w:rFonts w:ascii="David" w:hAnsi="David" w:hint="cs"/>
          <w:rtl/>
        </w:rPr>
        <w:t>'</w:t>
      </w:r>
      <w:r w:rsidR="00A3601F">
        <w:rPr>
          <w:rFonts w:ascii="David" w:hAnsi="David"/>
          <w:rtl/>
        </w:rPr>
        <w:t xml:space="preserve"> מתעכב על נימוקי הבקשה בדמות השפעה בלתי הוגנת וכשרות </w:t>
      </w:r>
      <w:r>
        <w:rPr>
          <w:rFonts w:ascii="David" w:hAnsi="David"/>
          <w:rtl/>
        </w:rPr>
        <w:t>לצוות, ומלין גם הוא על כך שי</w:t>
      </w:r>
      <w:r>
        <w:rPr>
          <w:rFonts w:ascii="David" w:hAnsi="David" w:hint="cs"/>
          <w:rtl/>
        </w:rPr>
        <w:t>ה'</w:t>
      </w:r>
      <w:r w:rsidR="00A3601F">
        <w:rPr>
          <w:rFonts w:ascii="David" w:hAnsi="David"/>
          <w:rtl/>
        </w:rPr>
        <w:t xml:space="preserve"> ידע על הצוואה ובחר שלא להגישה. </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b/>
          <w:bCs/>
          <w:u w:val="single"/>
        </w:rPr>
      </w:pPr>
      <w:r>
        <w:rPr>
          <w:rFonts w:ascii="David" w:hAnsi="David"/>
          <w:b/>
          <w:bCs/>
          <w:u w:val="single"/>
          <w:rtl/>
        </w:rPr>
        <w:t>דיון והכרעה</w:t>
      </w:r>
    </w:p>
    <w:p w:rsidR="00A3601F" w:rsidRDefault="00A3601F" w:rsidP="00A3601F">
      <w:pPr>
        <w:pStyle w:val="ac"/>
        <w:numPr>
          <w:ilvl w:val="0"/>
          <w:numId w:val="6"/>
        </w:numPr>
        <w:spacing w:after="160" w:line="360" w:lineRule="auto"/>
        <w:jc w:val="both"/>
        <w:rPr>
          <w:rFonts w:ascii="David" w:hAnsi="David"/>
          <w:rtl/>
        </w:rPr>
      </w:pPr>
      <w:r>
        <w:rPr>
          <w:rFonts w:ascii="David" w:hAnsi="David"/>
          <w:rtl/>
        </w:rPr>
        <w:t>לאחר עיון בכלל המצוי בתיק ומששמעתי את הצדדים, שוכנעתי כי לאור דבר גילוי הצוואה המאוחרת יש מקום לחדול כבר עתה מניהול ההליכים שלפני שלא לצורך, עת דין הבקשות להתקבל וכפועל יוצא, דין הצו להתבטל ;</w:t>
      </w:r>
      <w:r>
        <w:rPr>
          <w:rFonts w:ascii="David" w:hAnsi="David"/>
        </w:rPr>
        <w:t xml:space="preserve"> </w:t>
      </w:r>
      <w:r>
        <w:rPr>
          <w:rFonts w:ascii="David" w:hAnsi="David"/>
          <w:rtl/>
        </w:rPr>
        <w:t>זאת הגם שלא מנימוקיהם המקוריים של המבקשים.</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הטעם למסקנתי הוא דבר קיומה של הצוואה המאוחרת והכלל המנחה בדיני הירושה והוא המצווה לקיים את רצון המוריש. משהתברר שלאחר עשיית הצוואה הנטענת בשנת 2010 בחר המנוח – מנימוקיו הוא – לסור ולערוך צוואה חדשה, יש בכך משום עילה חדשה, עצמאית ונפרדת, לביטולו של הצו.</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Theme="minorHAnsi" w:hAnsiTheme="minorHAnsi"/>
          <w:rtl/>
        </w:rPr>
      </w:pPr>
      <w:r>
        <w:rPr>
          <w:rtl/>
        </w:rPr>
        <w:t xml:space="preserve">האפשרות להידרש לביטול או לתיקון צו ירושה מנויה בסעיף 72 (א) </w:t>
      </w:r>
      <w:r>
        <w:rPr>
          <w:b/>
          <w:bCs/>
          <w:rtl/>
        </w:rPr>
        <w:t>לחוק הירושה, התשכ"ה  -  1965</w:t>
      </w:r>
      <w:r>
        <w:rPr>
          <w:rtl/>
        </w:rPr>
        <w:t xml:space="preserve"> (להלן: "</w:t>
      </w:r>
      <w:r>
        <w:rPr>
          <w:b/>
          <w:bCs/>
          <w:rtl/>
        </w:rPr>
        <w:t>חוק הירושה</w:t>
      </w:r>
      <w:r>
        <w:rPr>
          <w:rtl/>
        </w:rPr>
        <w:t>"), אשר מורנו כדלקמן:</w:t>
      </w:r>
    </w:p>
    <w:p w:rsidR="00A3601F" w:rsidRDefault="00A3601F" w:rsidP="00A3601F">
      <w:pPr>
        <w:pStyle w:val="ac"/>
        <w:spacing w:line="360" w:lineRule="auto"/>
        <w:jc w:val="both"/>
        <w:rPr>
          <w:rtl/>
        </w:rPr>
      </w:pPr>
      <w:r>
        <w:rPr>
          <w:rtl/>
        </w:rPr>
        <w:t>" ...</w:t>
      </w:r>
      <w:r>
        <w:rPr>
          <w:b/>
          <w:bCs/>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 בזמן מתן הצו ;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r>
        <w:rPr>
          <w:rtl/>
        </w:rPr>
        <w:t xml:space="preserve">...." (שם). </w:t>
      </w:r>
    </w:p>
    <w:p w:rsidR="00A3601F" w:rsidRDefault="00A3601F" w:rsidP="00A3601F">
      <w:pPr>
        <w:pStyle w:val="ac"/>
        <w:spacing w:line="360" w:lineRule="auto"/>
        <w:jc w:val="both"/>
        <w:rPr>
          <w:rtl/>
        </w:rPr>
      </w:pPr>
    </w:p>
    <w:p w:rsidR="00A3601F" w:rsidRDefault="00A3601F" w:rsidP="00A3601F">
      <w:pPr>
        <w:pStyle w:val="ac"/>
        <w:spacing w:line="360" w:lineRule="auto"/>
        <w:jc w:val="both"/>
        <w:rPr>
          <w:rtl/>
        </w:rPr>
      </w:pPr>
      <w:r>
        <w:rPr>
          <w:rtl/>
        </w:rPr>
        <w:t xml:space="preserve">במובנים רבים, ההליך שלפנינו דומה להליך ביטולו של פסק דין שניתן על פי צד אחד. משמעותו איננה האם יש לקבל את טענות מבקשי הביטול לגופן. משמעותו היא האם יש </w:t>
      </w:r>
      <w:r>
        <w:rPr>
          <w:rtl/>
        </w:rPr>
        <w:lastRenderedPageBreak/>
        <w:t>לאפשר להם לחצות את סיפה של הערכאה המבררת לשם ניהול ההליך המהותי, לגופו, תוך ביטולו של הצו שניתן, שדינו כפסק דין חפצא.</w:t>
      </w:r>
    </w:p>
    <w:p w:rsidR="00A3601F" w:rsidRDefault="00A3601F" w:rsidP="00A3601F">
      <w:pPr>
        <w:pStyle w:val="ac"/>
        <w:spacing w:line="360" w:lineRule="auto"/>
        <w:jc w:val="both"/>
        <w:rPr>
          <w:rtl/>
        </w:rPr>
      </w:pPr>
    </w:p>
    <w:p w:rsidR="00A3601F" w:rsidRDefault="00A3601F" w:rsidP="00A3601F">
      <w:pPr>
        <w:pStyle w:val="ac"/>
        <w:numPr>
          <w:ilvl w:val="0"/>
          <w:numId w:val="6"/>
        </w:numPr>
        <w:spacing w:after="160" w:line="360" w:lineRule="auto"/>
        <w:jc w:val="both"/>
        <w:rPr>
          <w:rtl/>
        </w:rPr>
      </w:pPr>
      <w:r>
        <w:rPr>
          <w:rtl/>
        </w:rPr>
        <w:t xml:space="preserve">בנוסף, כמפורט לעיל, לשון החוק מבהירה מפורשות, כי היסוד להידרש לבקשה נעוץ בעובדות או בטענות שלא היו בזמן מתן הצו. ברי, כי דבר קיומה של צוואה מאוחרת הוא בבחינת עובדה שלא הייתה לפני כב' הרשם בטרם ניתן הצו, ובוודאי שלו הייתה מונחת עובדה זו בפניו, ספק רב אם היה ניתן צו הקיום כפי שניתן. זאת, ללא כל קשר לטענותיהם של המבקשים בהליכים שלפני. </w:t>
      </w:r>
    </w:p>
    <w:p w:rsidR="00A3601F" w:rsidRDefault="00A3601F" w:rsidP="00A3601F">
      <w:pPr>
        <w:spacing w:line="360" w:lineRule="auto"/>
        <w:jc w:val="both"/>
        <w:rPr>
          <w:rtl/>
        </w:rPr>
      </w:pPr>
    </w:p>
    <w:p w:rsidR="00A3601F" w:rsidRDefault="00A3601F" w:rsidP="00A3601F">
      <w:pPr>
        <w:pStyle w:val="ac"/>
        <w:numPr>
          <w:ilvl w:val="0"/>
          <w:numId w:val="6"/>
        </w:numPr>
        <w:spacing w:after="160" w:line="360" w:lineRule="auto"/>
        <w:jc w:val="both"/>
      </w:pPr>
      <w:r>
        <w:rPr>
          <w:rtl/>
        </w:rPr>
        <w:t xml:space="preserve">הפסיקה מונה שיקולים שונים שיש להידרש להם לצורך בחינת השאלה האם יש לבטל צו ירושה או צו קיום צוואה. בין שיקולים אלה לא נדרשת קבלה של טענות מבקשי הביטול לגופן, כל עיקר, שכן כאמור, תכלית הליך ביטולו של צו קיום שונה היא מתכלית הליך התנגדות לקיום צוואה (בזה האחרון נידונות הטענות ומבוררות לגופן). </w:t>
      </w:r>
    </w:p>
    <w:p w:rsidR="00A3601F" w:rsidRDefault="00A3601F" w:rsidP="00A3601F">
      <w:pPr>
        <w:pStyle w:val="ac"/>
        <w:rPr>
          <w:rtl/>
        </w:rPr>
      </w:pPr>
    </w:p>
    <w:p w:rsidR="00A3601F" w:rsidRDefault="00A3601F" w:rsidP="00A3601F">
      <w:pPr>
        <w:pStyle w:val="ac"/>
        <w:spacing w:line="360" w:lineRule="auto"/>
        <w:jc w:val="both"/>
      </w:pPr>
    </w:p>
    <w:p w:rsidR="00A3601F" w:rsidRDefault="00A3601F" w:rsidP="00A3601F">
      <w:pPr>
        <w:pStyle w:val="ac"/>
        <w:spacing w:line="360" w:lineRule="auto"/>
        <w:jc w:val="both"/>
        <w:rPr>
          <w:rtl/>
        </w:rPr>
      </w:pPr>
      <w:r>
        <w:rPr>
          <w:rtl/>
        </w:rPr>
        <w:t xml:space="preserve">בת"ע (טב') 41070-08-10 </w:t>
      </w:r>
      <w:r>
        <w:rPr>
          <w:b/>
          <w:bCs/>
          <w:rtl/>
        </w:rPr>
        <w:t>גשוק נ' וייסמן</w:t>
      </w:r>
      <w:r>
        <w:rPr>
          <w:rtl/>
        </w:rPr>
        <w:t xml:space="preserve"> (מצוי במאגרים המשפטיים ; 4.9.11) סקר בית המשפט לענייני משפחה שיקולים מספר שבנסיבות המתאימות יש להידרש להם לצורך הפעלת שיקול הדעת השיפוטי במסגרת בקשות כגון דא: מנין הזמן שחלף ; מידת השיהוי בהגשת הבקשה ; הסברו של המבקש לשיהוי ומידת הסבירות של הסבר זה (לעניין זה מקובל, כי הגם שמידת השיהוי היא משנית לשאלת ההסבר לשיהוי, ככל שהשיהוי ממושך יותר כך נטל השכנוע שבמתן ההסבר לו הופך כבד יותר) ; טיבה ומשקלה של העובדה החדשה שמבוקש להידרש לה ומצדיקה את ביטולו או תיקונו של הצו ; הנזק הראייתי הפוטנציאלי לאיזה מהצדדים בעצם השהיית הבקשה ; חומרת הפגיעה בצדדים או בצדדי ג' עקב השינוי בצו המבוקש (שם ; כן השוו, בין היתר, ת"ע (קריות) </w:t>
      </w:r>
      <w:r>
        <w:rPr>
          <w:b/>
          <w:bCs/>
          <w:rtl/>
        </w:rPr>
        <w:t>פלונית נ' פלוני</w:t>
      </w:r>
      <w:r>
        <w:rPr>
          <w:rtl/>
        </w:rPr>
        <w:t xml:space="preserve"> 31549-03-10 (מצוי במאגרים המשפטיים ; 2.9.13) וכן ש' שוחט נ' פינברג  וי' פלומין </w:t>
      </w:r>
      <w:r>
        <w:rPr>
          <w:b/>
          <w:bCs/>
          <w:rtl/>
        </w:rPr>
        <w:t>דיני ירושה ועיזבון</w:t>
      </w:r>
      <w:r>
        <w:rPr>
          <w:rtl/>
        </w:rPr>
        <w:t xml:space="preserve"> 197 – 202 והאסמכתאות שם).</w:t>
      </w:r>
    </w:p>
    <w:p w:rsidR="00A3601F" w:rsidRDefault="00A3601F" w:rsidP="00A3601F">
      <w:pPr>
        <w:pStyle w:val="ac"/>
        <w:spacing w:line="360" w:lineRule="auto"/>
        <w:jc w:val="both"/>
        <w:rPr>
          <w:rtl/>
        </w:rPr>
      </w:pPr>
    </w:p>
    <w:p w:rsidR="00A3601F" w:rsidRDefault="00A3601F" w:rsidP="00A3601F">
      <w:pPr>
        <w:pStyle w:val="ac"/>
        <w:numPr>
          <w:ilvl w:val="0"/>
          <w:numId w:val="6"/>
        </w:numPr>
        <w:spacing w:after="160" w:line="360" w:lineRule="auto"/>
        <w:jc w:val="both"/>
        <w:rPr>
          <w:rtl/>
        </w:rPr>
      </w:pPr>
      <w:r>
        <w:rPr>
          <w:rtl/>
        </w:rPr>
        <w:t>אבחן השיקולים באשר לענייננו, ולאחר מכן אדרש לשיקול נוסף שלטעמי יש לשקול אף הוא, כאשר בבקשה כגון דא עסקינן. מכלול השיקולים המרכזיים שאפרט להלן תומכים במסקנתי.</w:t>
      </w:r>
    </w:p>
    <w:p w:rsidR="00A3601F" w:rsidRDefault="00A3601F" w:rsidP="00A3601F">
      <w:pPr>
        <w:pStyle w:val="ac"/>
        <w:spacing w:line="360" w:lineRule="auto"/>
        <w:jc w:val="both"/>
        <w:rPr>
          <w:rtl/>
        </w:rPr>
      </w:pPr>
    </w:p>
    <w:p w:rsidR="00A3601F" w:rsidRDefault="00A3601F" w:rsidP="00A3601F">
      <w:pPr>
        <w:pStyle w:val="ac"/>
        <w:spacing w:line="360" w:lineRule="auto"/>
        <w:jc w:val="both"/>
        <w:rPr>
          <w:rtl/>
        </w:rPr>
      </w:pPr>
      <w:r>
        <w:rPr>
          <w:rtl/>
        </w:rPr>
        <w:lastRenderedPageBreak/>
        <w:t xml:space="preserve">בענייננו, אף מבלי להידרש לטעם להגשת הבקשות לאחר ביטול הצו (טענות מסוג הטעיה), הרי שעצם השיהוי הוא </w:t>
      </w:r>
      <w:r w:rsidR="00DB00E5">
        <w:rPr>
          <w:rtl/>
        </w:rPr>
        <w:t>מזערי. גם לו הייתי קובע כי י</w:t>
      </w:r>
      <w:r w:rsidR="00DB00E5">
        <w:rPr>
          <w:rFonts w:hint="cs"/>
          <w:rtl/>
        </w:rPr>
        <w:t>'</w:t>
      </w:r>
      <w:r w:rsidR="00DB00E5">
        <w:rPr>
          <w:rtl/>
        </w:rPr>
        <w:t xml:space="preserve"> וח</w:t>
      </w:r>
      <w:r w:rsidR="00DB00E5">
        <w:rPr>
          <w:rFonts w:hint="cs"/>
          <w:rtl/>
        </w:rPr>
        <w:t>'</w:t>
      </w:r>
      <w:r>
        <w:rPr>
          <w:rtl/>
        </w:rPr>
        <w:t xml:space="preserve"> היו מודעים לעצם הגשת בקשת צו הקיום, הרי שמעצם מתן הצו ביום 26.12</w:t>
      </w:r>
      <w:r w:rsidR="00DB00E5">
        <w:rPr>
          <w:rtl/>
        </w:rPr>
        <w:t>.19 עד להגשת בקשתה של ח</w:t>
      </w:r>
      <w:r w:rsidR="00DB00E5">
        <w:rPr>
          <w:rFonts w:hint="cs"/>
          <w:rtl/>
        </w:rPr>
        <w:t>'</w:t>
      </w:r>
      <w:r>
        <w:rPr>
          <w:rtl/>
        </w:rPr>
        <w:t xml:space="preserve"> ביום 9.1.20 למשל חלפו </w:t>
      </w:r>
      <w:r>
        <w:rPr>
          <w:b/>
          <w:bCs/>
          <w:rtl/>
        </w:rPr>
        <w:t>שבועיים ימים בלבד</w:t>
      </w:r>
      <w:r>
        <w:rPr>
          <w:rtl/>
        </w:rPr>
        <w:t xml:space="preserve">. די בכך כדי להטות את הכף </w:t>
      </w:r>
      <w:r w:rsidR="00DB00E5">
        <w:rPr>
          <w:rtl/>
        </w:rPr>
        <w:t>משמעותית לכיוון מתן האפשרות לח</w:t>
      </w:r>
      <w:r w:rsidR="00DB00E5">
        <w:rPr>
          <w:rFonts w:hint="cs"/>
          <w:rtl/>
        </w:rPr>
        <w:t>'</w:t>
      </w:r>
      <w:r w:rsidR="00DB00E5">
        <w:rPr>
          <w:rtl/>
        </w:rPr>
        <w:t xml:space="preserve"> ולי</w:t>
      </w:r>
      <w:r w:rsidR="00DB00E5">
        <w:rPr>
          <w:rFonts w:hint="cs"/>
          <w:rtl/>
        </w:rPr>
        <w:t xml:space="preserve">' </w:t>
      </w:r>
      <w:r>
        <w:rPr>
          <w:rtl/>
        </w:rPr>
        <w:t xml:space="preserve">לנהל הליך לגופו של עניין תוך חציית סיפה של הערכאה השיפוטית. </w:t>
      </w:r>
    </w:p>
    <w:p w:rsidR="00A3601F" w:rsidRDefault="00A3601F" w:rsidP="00A3601F">
      <w:pPr>
        <w:pStyle w:val="ac"/>
        <w:spacing w:line="360" w:lineRule="auto"/>
        <w:jc w:val="both"/>
        <w:rPr>
          <w:rtl/>
        </w:rPr>
      </w:pPr>
    </w:p>
    <w:p w:rsidR="00A3601F" w:rsidRDefault="00A3601F" w:rsidP="00A3601F">
      <w:pPr>
        <w:pStyle w:val="ac"/>
        <w:numPr>
          <w:ilvl w:val="0"/>
          <w:numId w:val="6"/>
        </w:numPr>
        <w:spacing w:after="160" w:line="360" w:lineRule="auto"/>
        <w:jc w:val="both"/>
        <w:rPr>
          <w:rtl/>
        </w:rPr>
      </w:pPr>
      <w:r>
        <w:rPr>
          <w:rtl/>
        </w:rPr>
        <w:t>באשר לטיבה ולמשקלה של העובדה החדשה. דומני שלא ניתן לחלוק על כך שדבר גילויה של צוואה מאוחרת, יהא תוכנה אשר יהא, הוא בבחינת עובדה מהותית מאין כמוה. עובדה שיש בה לבדה כדי לשמש עילה, כאמור, לביטולו של הצו. הרציונל לכך הוא ברור, שכן כלל היסוד בדיני ירושה הוא המצווה לקיים את רצונו של המוריש. אין לשכוח שהדיון שלפנינו עתה עוסק בעיקרו בשלבו הטרומי של ההליך – חרף משך קיומו – ועניינו השאלה האם יש לאפשר בסופו של יום לברי הפלוגתא של מבקש הקיום לחצות את סיפה של הערכאה הדיונית.</w:t>
      </w:r>
    </w:p>
    <w:p w:rsidR="00A3601F" w:rsidRDefault="00A3601F" w:rsidP="00A3601F">
      <w:pPr>
        <w:pStyle w:val="ac"/>
        <w:spacing w:line="360" w:lineRule="auto"/>
        <w:jc w:val="both"/>
      </w:pPr>
      <w:r>
        <w:rPr>
          <w:rtl/>
        </w:rPr>
        <w:t xml:space="preserve">כמובן שעת התברר שיכול והמוריש טרח והתייצב שנתיים לאחר מתן הצוואה הנטענת נושא ההליך שלפנינו, וערך לפי הנטען צוואה חדשה, חובה לאפשר בירור של  רצונו המשוער לרבות סיבת עריכתה של הצוואה המאוחרת, גם אם תוכנה דומה.  </w:t>
      </w:r>
    </w:p>
    <w:p w:rsidR="00A3601F" w:rsidRDefault="00A3601F" w:rsidP="00A3601F">
      <w:pPr>
        <w:pStyle w:val="ac"/>
        <w:spacing w:line="360" w:lineRule="auto"/>
        <w:jc w:val="both"/>
        <w:rPr>
          <w:rtl/>
        </w:rPr>
      </w:pPr>
    </w:p>
    <w:p w:rsidR="00A3601F" w:rsidRDefault="00A3601F" w:rsidP="00A3601F">
      <w:pPr>
        <w:pStyle w:val="ac"/>
        <w:numPr>
          <w:ilvl w:val="0"/>
          <w:numId w:val="6"/>
        </w:numPr>
        <w:spacing w:after="160" w:line="360" w:lineRule="auto"/>
        <w:jc w:val="both"/>
      </w:pPr>
      <w:r>
        <w:rPr>
          <w:rtl/>
        </w:rPr>
        <w:t xml:space="preserve">גם לא נטען וממילא ספק רב אם נגרם לאיזה מן הצדדים נזק פוטנציאלי (ראייתי או אחר) כתוצאה מהשהיית הבקשה לביטול במשך שבועיים ימים. זאת, הן לאור משך השיהוי המזערי והן לאור העובדה שממילא ביצועו של הצו עוכב ועודנו מעוכב. </w:t>
      </w:r>
    </w:p>
    <w:p w:rsidR="00A3601F" w:rsidRDefault="00A3601F" w:rsidP="00A3601F">
      <w:pPr>
        <w:spacing w:line="360" w:lineRule="auto"/>
        <w:jc w:val="both"/>
        <w:rPr>
          <w:rtl/>
        </w:rPr>
      </w:pPr>
    </w:p>
    <w:p w:rsidR="00A3601F" w:rsidRDefault="00A3601F" w:rsidP="00A3601F">
      <w:pPr>
        <w:pStyle w:val="ac"/>
        <w:numPr>
          <w:ilvl w:val="0"/>
          <w:numId w:val="6"/>
        </w:numPr>
        <w:spacing w:after="160" w:line="360" w:lineRule="auto"/>
        <w:jc w:val="both"/>
        <w:rPr>
          <w:rtl/>
        </w:rPr>
      </w:pPr>
      <w:r>
        <w:rPr>
          <w:rtl/>
        </w:rPr>
        <w:t>יתרה מכך</w:t>
      </w:r>
      <w:r w:rsidR="00DB00E5">
        <w:rPr>
          <w:rtl/>
        </w:rPr>
        <w:t>, דווקא היעתרות לעתירתו של יה</w:t>
      </w:r>
      <w:r w:rsidR="00DB00E5">
        <w:rPr>
          <w:rFonts w:hint="cs"/>
          <w:rtl/>
        </w:rPr>
        <w:t>'</w:t>
      </w:r>
      <w:r>
        <w:rPr>
          <w:rtl/>
        </w:rPr>
        <w:t xml:space="preserve"> להמשיך בבירורו של ההליך שלפני, שעניינו אך בקשה לביטול הצו, עת ברור כי על הפרק צוואה מאוחרת שלפי הנטען ערך המנוח והתגלתה רק בתחילת דיון שמיעת הראיות, אך תוסיף להקצאת תשומות שיפוט ומינהל מיותרות בהליך זה, אשר תבואנה אינהרנטית על חשבונם של מתדיינים אחרים (לעניין זה השוו: תקנות 2 – 5 לתקנות סדר הדין האזרחי, התשע"ט – 2018).</w:t>
      </w:r>
    </w:p>
    <w:p w:rsidR="00A3601F" w:rsidRDefault="00A3601F" w:rsidP="00A3601F">
      <w:pPr>
        <w:pStyle w:val="ac"/>
        <w:spacing w:line="360" w:lineRule="auto"/>
        <w:jc w:val="both"/>
        <w:rPr>
          <w:rtl/>
        </w:rPr>
      </w:pPr>
    </w:p>
    <w:p w:rsidR="00A3601F" w:rsidRDefault="00A3601F" w:rsidP="00A3601F">
      <w:pPr>
        <w:pStyle w:val="ac"/>
        <w:spacing w:line="360" w:lineRule="auto"/>
        <w:jc w:val="both"/>
        <w:rPr>
          <w:rtl/>
        </w:rPr>
      </w:pPr>
      <w:r>
        <w:rPr>
          <w:rtl/>
        </w:rPr>
        <w:t xml:space="preserve">בהקשר אחר כבר נקבע לאחרונה, כי "... </w:t>
      </w:r>
      <w:r>
        <w:rPr>
          <w:b/>
          <w:bCs/>
          <w:rtl/>
        </w:rPr>
        <w:t>מאחר שזמן שיפוטי הוא משאב חברתי מוגבל, ועל כן השקעה מאסיבית של הזמן בהליך אחד תדחה את טיפולו של השופט בהליכים אחרים, דבר אשר עלול לפגוע קשה – ולעיתים, אנושות – בבעלי הדין שמחכים ליומם בבית המשפט ולסעדים המשפטיים להם הם זכאים ואין שופט שישמע את טענותיהם</w:t>
      </w:r>
      <w:r>
        <w:rPr>
          <w:rtl/>
        </w:rPr>
        <w:t xml:space="preserve">..." [ע"א 6460/21 </w:t>
      </w:r>
      <w:r>
        <w:rPr>
          <w:rtl/>
        </w:rPr>
        <w:lastRenderedPageBreak/>
        <w:t xml:space="preserve">פרץ נ' כהן (מצוי במאגרים המשפטיים ; 18.6.23)]. אם בעניין </w:t>
      </w:r>
      <w:r>
        <w:rPr>
          <w:b/>
          <w:bCs/>
          <w:rtl/>
        </w:rPr>
        <w:t>פרץ</w:t>
      </w:r>
      <w:r>
        <w:rPr>
          <w:rtl/>
        </w:rPr>
        <w:t xml:space="preserve"> הנ"ל הדברים נאמרו על רקע הנטיה שלא לאפשר חקירה ודרישה בלתי מידתיים בנסיון להגיע לחקר האמת, הרי שבענייננו הדברים יפים שבעתיים מקום בו בעת קיום הליך שבאופיו הוא טרומי, התבררה עובדה משמעותית מאין כמוה, אשר יש בה בקלות וביעילות לאפשר הכרעה בהליך הטרומי ש</w:t>
      </w:r>
      <w:r w:rsidR="00DB00E5">
        <w:rPr>
          <w:rtl/>
        </w:rPr>
        <w:t>לפני, קרי השאלה האם לאפשר לי</w:t>
      </w:r>
      <w:r w:rsidR="00DB00E5">
        <w:rPr>
          <w:rFonts w:hint="cs"/>
          <w:rtl/>
        </w:rPr>
        <w:t>'</w:t>
      </w:r>
      <w:r w:rsidR="00DB00E5">
        <w:rPr>
          <w:rtl/>
        </w:rPr>
        <w:t xml:space="preserve"> ולח</w:t>
      </w:r>
      <w:r w:rsidR="00DB00E5">
        <w:rPr>
          <w:rFonts w:hint="cs"/>
          <w:rtl/>
        </w:rPr>
        <w:t>'</w:t>
      </w:r>
      <w:r>
        <w:rPr>
          <w:rtl/>
        </w:rPr>
        <w:t xml:space="preserve"> לחצות את סף הדיון השיפוטי ולהתנגד לאיזו מן הצוואות שתוגשנה לקיום. בנסיבות אלה, המשכו של הדיון שלפני, אך בשאלה האם לבטל את הצו אם לאו, אין בו כל תועלת ואך יגרע מן האינטרס הציבורי, עת דווקא קבלת עמדת</w:t>
      </w:r>
      <w:r w:rsidR="00DB00E5">
        <w:rPr>
          <w:rtl/>
        </w:rPr>
        <w:t>ו של יה</w:t>
      </w:r>
      <w:r w:rsidR="00DB00E5">
        <w:rPr>
          <w:rFonts w:hint="cs"/>
          <w:rtl/>
        </w:rPr>
        <w:t>'</w:t>
      </w:r>
      <w:r>
        <w:rPr>
          <w:rtl/>
        </w:rPr>
        <w:t xml:space="preserve"> והמשך הדיון בהליכים שלפני תגרום לסרבול מיותר.</w:t>
      </w:r>
    </w:p>
    <w:p w:rsidR="00A3601F" w:rsidRDefault="00A3601F" w:rsidP="00A3601F">
      <w:pPr>
        <w:pStyle w:val="ac"/>
        <w:spacing w:line="360" w:lineRule="auto"/>
        <w:jc w:val="both"/>
        <w:rPr>
          <w:rtl/>
        </w:rPr>
      </w:pPr>
    </w:p>
    <w:p w:rsidR="00A3601F" w:rsidRDefault="00A3601F" w:rsidP="00A3601F">
      <w:pPr>
        <w:pStyle w:val="ac"/>
        <w:numPr>
          <w:ilvl w:val="0"/>
          <w:numId w:val="6"/>
        </w:numPr>
        <w:spacing w:after="160" w:line="360" w:lineRule="auto"/>
        <w:jc w:val="both"/>
        <w:rPr>
          <w:rtl/>
        </w:rPr>
      </w:pPr>
      <w:r>
        <w:rPr>
          <w:rtl/>
        </w:rPr>
        <w:t>לעניין זה אי</w:t>
      </w:r>
      <w:r w:rsidR="00DB00E5">
        <w:rPr>
          <w:rtl/>
        </w:rPr>
        <w:t>ן ממש בטענותיו הדיוניות של יה</w:t>
      </w:r>
      <w:r w:rsidR="00DB00E5">
        <w:rPr>
          <w:rFonts w:hint="cs"/>
          <w:rtl/>
        </w:rPr>
        <w:t>'</w:t>
      </w:r>
      <w:r>
        <w:rPr>
          <w:rtl/>
        </w:rPr>
        <w:t xml:space="preserve">. שכן הלכה למעשה, במיוחד עת ביצועו של הצו מעוכב ממילא, לא יגרם לו כל נזק מהותי. אדרבא, יתאפשר לו לתקן את מצב הדברים, קרי דבר קיום הצוואה המאוחרת,  שלטענתו לא היה ידוע לו (חרף העובדה שהוא זה שזימן את עורך הצוואה למתן עדות) ; ולבקש להגיש לקיום את הצוואה הנטענת שהיא האחרונה והמאוחרת, בבחינת רצונו המשוער האחרון והעדכני של המנוח. </w:t>
      </w:r>
    </w:p>
    <w:p w:rsidR="00A3601F" w:rsidRDefault="00A3601F" w:rsidP="00A3601F">
      <w:pPr>
        <w:pStyle w:val="ac"/>
        <w:spacing w:line="360" w:lineRule="auto"/>
        <w:jc w:val="both"/>
      </w:pPr>
    </w:p>
    <w:p w:rsidR="00A3601F" w:rsidRDefault="00A3601F" w:rsidP="00A3601F">
      <w:pPr>
        <w:pStyle w:val="ac"/>
        <w:spacing w:line="360" w:lineRule="auto"/>
        <w:jc w:val="both"/>
        <w:rPr>
          <w:rtl/>
        </w:rPr>
      </w:pPr>
      <w:r>
        <w:rPr>
          <w:rtl/>
        </w:rPr>
        <w:t>בנוסף, כמובן שיתאפשר לו במידת הצורך לנהל הליך מהותי לגופם של דברים, ככל שמ</w:t>
      </w:r>
      <w:r w:rsidR="00DB00E5">
        <w:rPr>
          <w:rtl/>
        </w:rPr>
        <w:t>אן דהוא, בכלל זה י</w:t>
      </w:r>
      <w:r w:rsidR="00DB00E5">
        <w:rPr>
          <w:rFonts w:hint="cs"/>
          <w:rtl/>
        </w:rPr>
        <w:t>'</w:t>
      </w:r>
      <w:r w:rsidR="00DB00E5">
        <w:rPr>
          <w:rtl/>
        </w:rPr>
        <w:t xml:space="preserve"> או ח</w:t>
      </w:r>
      <w:r w:rsidR="00DB00E5">
        <w:rPr>
          <w:rFonts w:hint="cs"/>
          <w:rtl/>
        </w:rPr>
        <w:t>'</w:t>
      </w:r>
      <w:r>
        <w:rPr>
          <w:rtl/>
        </w:rPr>
        <w:t>, יבקש להתנגד לקיום הצוואה שיבחר לבקש קיומה.</w:t>
      </w:r>
      <w:r>
        <w:t xml:space="preserve">  </w:t>
      </w:r>
      <w:r>
        <w:rPr>
          <w:rtl/>
        </w:rPr>
        <w:t xml:space="preserve"> כמובן שבכך אין משמעות הדברים שהתקבלה </w:t>
      </w:r>
      <w:r w:rsidR="00DB00E5">
        <w:rPr>
          <w:rtl/>
        </w:rPr>
        <w:t>איזו מטענותיהם המהותיות של י</w:t>
      </w:r>
      <w:r w:rsidR="00DB00E5">
        <w:rPr>
          <w:rFonts w:hint="cs"/>
          <w:rtl/>
        </w:rPr>
        <w:t>'</w:t>
      </w:r>
      <w:r w:rsidR="00DB00E5">
        <w:rPr>
          <w:rtl/>
        </w:rPr>
        <w:t xml:space="preserve"> או ח</w:t>
      </w:r>
      <w:r w:rsidR="00DB00E5">
        <w:rPr>
          <w:rFonts w:hint="cs"/>
          <w:rtl/>
        </w:rPr>
        <w:t>'</w:t>
      </w:r>
      <w:r>
        <w:rPr>
          <w:rtl/>
        </w:rPr>
        <w:t xml:space="preserve"> וכל שנקבע במסגרת זו היא שיתאפשר להם להציג טענותיהם ביחס לצוואה או לצוואות שתתבררנה לגופן. </w:t>
      </w:r>
    </w:p>
    <w:p w:rsidR="00A3601F" w:rsidRDefault="00A3601F" w:rsidP="00A3601F">
      <w:pPr>
        <w:pStyle w:val="ac"/>
        <w:spacing w:line="360" w:lineRule="auto"/>
        <w:jc w:val="both"/>
        <w:rPr>
          <w:rtl/>
        </w:rPr>
      </w:pPr>
    </w:p>
    <w:p w:rsidR="00A3601F" w:rsidRDefault="00A3601F" w:rsidP="00A3601F">
      <w:pPr>
        <w:pStyle w:val="ac"/>
        <w:numPr>
          <w:ilvl w:val="0"/>
          <w:numId w:val="6"/>
        </w:numPr>
        <w:spacing w:after="160" w:line="360" w:lineRule="auto"/>
        <w:jc w:val="both"/>
      </w:pPr>
      <w:r>
        <w:rPr>
          <w:rtl/>
        </w:rPr>
        <w:t>גם הטיעון בדבר הרחבת חזית איננו</w:t>
      </w:r>
      <w:r w:rsidR="00DB00E5">
        <w:rPr>
          <w:rtl/>
        </w:rPr>
        <w:t xml:space="preserve"> מחזיק מים. כשם שלדבריו של יה</w:t>
      </w:r>
      <w:r w:rsidR="00DB00E5">
        <w:rPr>
          <w:rFonts w:hint="cs"/>
          <w:rtl/>
        </w:rPr>
        <w:t>'</w:t>
      </w:r>
      <w:r>
        <w:rPr>
          <w:rtl/>
        </w:rPr>
        <w:t xml:space="preserve"> (ואינני קובע בעניין זה כל מסמרות עובדתיים), הוא לא היה מודע לדבר קיומה של הצוואה המאוח</w:t>
      </w:r>
      <w:r w:rsidR="00DB00E5">
        <w:rPr>
          <w:rtl/>
        </w:rPr>
        <w:t>רת, הוא הדבר גם בעניינם של י</w:t>
      </w:r>
      <w:r w:rsidR="00DB00E5">
        <w:rPr>
          <w:rFonts w:hint="cs"/>
          <w:rtl/>
        </w:rPr>
        <w:t>'</w:t>
      </w:r>
      <w:r w:rsidR="00DB00E5">
        <w:rPr>
          <w:rtl/>
        </w:rPr>
        <w:t xml:space="preserve"> ו</w:t>
      </w:r>
      <w:r w:rsidR="00DB00E5">
        <w:rPr>
          <w:rFonts w:hint="cs"/>
          <w:rtl/>
        </w:rPr>
        <w:t>ח'</w:t>
      </w:r>
      <w:r>
        <w:rPr>
          <w:rtl/>
        </w:rPr>
        <w:t>. לא לחינם הוריתי על הפסקת דיון שמיעת הראיות לאור גילוי עובדה זו. אין מדובר אפוא בהרחבת חזית אסורה שביצע איזה מן הצדדים, כי אם בעובדה מהותית חדשה שהתגלתה אגב ניהול ההליך, אשר הובילה כשלעצמה לשינוי נקודת העיגון הדיונית.</w:t>
      </w:r>
    </w:p>
    <w:p w:rsidR="00A3601F" w:rsidRDefault="00A3601F" w:rsidP="00A3601F">
      <w:pPr>
        <w:pStyle w:val="ac"/>
        <w:spacing w:line="360" w:lineRule="auto"/>
        <w:jc w:val="both"/>
        <w:rPr>
          <w:rFonts w:ascii="David" w:hAnsi="David"/>
          <w:rtl/>
        </w:rPr>
      </w:pPr>
    </w:p>
    <w:p w:rsidR="00A3601F" w:rsidRDefault="00A3601F" w:rsidP="00A3601F">
      <w:pPr>
        <w:pStyle w:val="ac"/>
        <w:numPr>
          <w:ilvl w:val="0"/>
          <w:numId w:val="6"/>
        </w:numPr>
        <w:spacing w:after="160" w:line="360" w:lineRule="auto"/>
        <w:jc w:val="both"/>
        <w:rPr>
          <w:rFonts w:ascii="David" w:hAnsi="David"/>
          <w:rtl/>
        </w:rPr>
      </w:pPr>
      <w:r>
        <w:rPr>
          <w:rFonts w:ascii="David" w:hAnsi="David"/>
          <w:rtl/>
        </w:rPr>
        <w:t>עוד</w:t>
      </w:r>
      <w:r w:rsidR="00DB00E5">
        <w:rPr>
          <w:rFonts w:ascii="David" w:hAnsi="David"/>
          <w:rtl/>
        </w:rPr>
        <w:t xml:space="preserve"> אציין, כי האסמכתאות שצירף יה</w:t>
      </w:r>
      <w:r w:rsidR="00DB00E5">
        <w:rPr>
          <w:rFonts w:ascii="David" w:hAnsi="David" w:hint="cs"/>
          <w:rtl/>
        </w:rPr>
        <w:t>'</w:t>
      </w:r>
      <w:r>
        <w:rPr>
          <w:rFonts w:ascii="David" w:hAnsi="David"/>
          <w:rtl/>
        </w:rPr>
        <w:t xml:space="preserve"> לתמיכה בטענתו לפיה אין לקיים צוואה מאוחרת שתוכנה דומה לצוואה המוקדמת, לא זו בלבד שהן בודדות גרידא וספק אם מלמדות את אשר טען להן;</w:t>
      </w:r>
      <w:r>
        <w:rPr>
          <w:rFonts w:ascii="David" w:hAnsi="David"/>
        </w:rPr>
        <w:t xml:space="preserve"> </w:t>
      </w:r>
      <w:r>
        <w:rPr>
          <w:rFonts w:ascii="David" w:hAnsi="David"/>
          <w:rtl/>
        </w:rPr>
        <w:t xml:space="preserve">אלא שחשוב מכך, הן כלל אינן רלוונטיות כל עיקר למקרה שלפני, בשים לב להליך </w:t>
      </w:r>
      <w:r>
        <w:rPr>
          <w:rFonts w:ascii="David" w:hAnsi="David"/>
          <w:rtl/>
        </w:rPr>
        <w:lastRenderedPageBreak/>
        <w:t>הדיוני ולשלב הדיוני השונים שבין ההליכים שלפני ובין ההליכים שנזכרו. בעוד שבמקרה שלפני מבוקש ביטול הצו על מנת לאפשר למבקשי הביטול לבוא תחת סיפה של הערכאה המוסמכת ולנהל את הדיון לגופו</w:t>
      </w:r>
      <w:r w:rsidR="00DB00E5">
        <w:rPr>
          <w:rFonts w:ascii="David" w:hAnsi="David"/>
          <w:rtl/>
        </w:rPr>
        <w:t>, הרי שבאותם המקרים שהזכיר יה</w:t>
      </w:r>
      <w:r w:rsidR="00DB00E5">
        <w:rPr>
          <w:rFonts w:ascii="David" w:hAnsi="David" w:hint="cs"/>
          <w:rtl/>
        </w:rPr>
        <w:t>'</w:t>
      </w:r>
      <w:r>
        <w:rPr>
          <w:rFonts w:ascii="David" w:hAnsi="David"/>
          <w:rtl/>
        </w:rPr>
        <w:t xml:space="preserve">, </w:t>
      </w:r>
      <w:r>
        <w:rPr>
          <w:rFonts w:ascii="David" w:hAnsi="David"/>
          <w:b/>
          <w:bCs/>
          <w:rtl/>
        </w:rPr>
        <w:t>נוהל הליך לגופו של עניין</w:t>
      </w:r>
      <w:r>
        <w:rPr>
          <w:rFonts w:ascii="David" w:hAnsi="David"/>
          <w:rtl/>
        </w:rPr>
        <w:t xml:space="preserve">, והסוגיות נידונו אגב התנגדויות לבקשות לקיום צוואה ו/או צו ירושה.  קרי, </w:t>
      </w:r>
      <w:r>
        <w:rPr>
          <w:rFonts w:ascii="David" w:hAnsi="David"/>
          <w:u w:val="single"/>
          <w:rtl/>
        </w:rPr>
        <w:t>בניגוד למקרה שלפני</w:t>
      </w:r>
      <w:r>
        <w:rPr>
          <w:rFonts w:ascii="David" w:hAnsi="David"/>
          <w:rtl/>
        </w:rPr>
        <w:t xml:space="preserve">, בכל המקרים שנזכרו התאפשר למתנגדים לחצות את הסף ולנהל דיון שיפוטי לגופו. </w:t>
      </w:r>
    </w:p>
    <w:p w:rsidR="00A3601F" w:rsidRDefault="00A3601F" w:rsidP="00A3601F">
      <w:pPr>
        <w:pStyle w:val="ac"/>
        <w:spacing w:line="360" w:lineRule="auto"/>
        <w:jc w:val="both"/>
        <w:rPr>
          <w:rFonts w:ascii="David" w:hAnsi="David"/>
          <w:b/>
          <w:bCs/>
        </w:rPr>
      </w:pPr>
    </w:p>
    <w:p w:rsidR="00A3601F" w:rsidRDefault="00A3601F" w:rsidP="00A3601F">
      <w:pPr>
        <w:pStyle w:val="ac"/>
        <w:spacing w:line="360" w:lineRule="auto"/>
        <w:jc w:val="both"/>
        <w:rPr>
          <w:rFonts w:ascii="David" w:hAnsi="David"/>
          <w:rtl/>
        </w:rPr>
      </w:pPr>
      <w:r>
        <w:rPr>
          <w:rFonts w:ascii="David" w:hAnsi="David"/>
          <w:b/>
          <w:bCs/>
          <w:rtl/>
        </w:rPr>
        <w:t xml:space="preserve">עמ"ש 35500-05-16 </w:t>
      </w:r>
      <w:r>
        <w:rPr>
          <w:rFonts w:ascii="David" w:hAnsi="David"/>
          <w:rtl/>
        </w:rPr>
        <w:t xml:space="preserve">עניינו היה ערעור על הליכי בהתנגדות לבקשה לקיום צוואה, </w:t>
      </w:r>
      <w:r>
        <w:rPr>
          <w:rFonts w:ascii="David" w:hAnsi="David"/>
          <w:b/>
          <w:bCs/>
          <w:rtl/>
        </w:rPr>
        <w:t>טרם זו קוימה</w:t>
      </w:r>
      <w:r>
        <w:rPr>
          <w:rFonts w:ascii="David" w:hAnsi="David"/>
          <w:rtl/>
        </w:rPr>
        <w:t xml:space="preserve">, ובבקשה למתן צו ירושה לצידם. </w:t>
      </w:r>
      <w:r>
        <w:rPr>
          <w:rFonts w:ascii="David" w:hAnsi="David"/>
          <w:b/>
          <w:bCs/>
          <w:rtl/>
        </w:rPr>
        <w:t>ת"ע (ת"א) 42816-09-12 א.ר.א נ' י.מ</w:t>
      </w:r>
      <w:r w:rsidR="00DB00E5">
        <w:rPr>
          <w:rFonts w:ascii="David" w:hAnsi="David"/>
          <w:rtl/>
        </w:rPr>
        <w:t>, שנזכר בטיעוני יה</w:t>
      </w:r>
      <w:r w:rsidR="00DB00E5">
        <w:rPr>
          <w:rFonts w:ascii="David" w:hAnsi="David" w:hint="cs"/>
          <w:rtl/>
        </w:rPr>
        <w:t>'</w:t>
      </w:r>
      <w:r>
        <w:rPr>
          <w:rFonts w:ascii="David" w:hAnsi="David"/>
          <w:rtl/>
        </w:rPr>
        <w:t xml:space="preserve">, אף הוא עסק בבקשות שונות – האחת לקיום צוואה אחת, והשניה לבקשה למתן צו קיום למסמך "ביטול צוואה", בבחינת צוואה. גם הליך זה לא התבקש כל עיקר ביטול צו קיום שניתן לצוואה זו או אחרת. </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במאמר מוסגר יוע</w:t>
      </w:r>
      <w:r w:rsidR="00DB00E5">
        <w:rPr>
          <w:rFonts w:ascii="David" w:hAnsi="David"/>
          <w:rtl/>
        </w:rPr>
        <w:t>ר, כי האסמכתא הנוספת שאזכר יה</w:t>
      </w:r>
      <w:r w:rsidR="00DB00E5">
        <w:rPr>
          <w:rFonts w:ascii="David" w:hAnsi="David" w:hint="cs"/>
          <w:rtl/>
        </w:rPr>
        <w:t>'</w:t>
      </w:r>
      <w:r>
        <w:rPr>
          <w:rFonts w:ascii="David" w:hAnsi="David"/>
          <w:rtl/>
        </w:rPr>
        <w:t xml:space="preserve"> (ת"ע 1271/05), לא צורפה אף היא לתגובתו אולם גם לא אותרה כל עיקר. אולם</w:t>
      </w:r>
      <w:r w:rsidR="00DB00E5">
        <w:rPr>
          <w:rFonts w:ascii="David" w:hAnsi="David"/>
          <w:rtl/>
        </w:rPr>
        <w:t xml:space="preserve"> גם הימנה כעולה מטיעונו של יה</w:t>
      </w:r>
      <w:r w:rsidR="00DB00E5">
        <w:rPr>
          <w:rFonts w:ascii="David" w:hAnsi="David" w:hint="cs"/>
          <w:rtl/>
        </w:rPr>
        <w:t>'</w:t>
      </w:r>
      <w:r>
        <w:rPr>
          <w:rFonts w:ascii="David" w:hAnsi="David"/>
          <w:rtl/>
        </w:rPr>
        <w:t xml:space="preserve"> לא עולה לכאורה שהסוגיה עלתה אגב דיון בבקשה לביטול צו שכבר ניתן.</w:t>
      </w:r>
    </w:p>
    <w:p w:rsidR="00A3601F" w:rsidRDefault="00A3601F" w:rsidP="00A3601F">
      <w:pPr>
        <w:pStyle w:val="ac"/>
        <w:spacing w:line="360" w:lineRule="auto"/>
        <w:jc w:val="both"/>
        <w:rPr>
          <w:rFonts w:ascii="David" w:hAnsi="David"/>
          <w:rtl/>
        </w:rPr>
      </w:pPr>
    </w:p>
    <w:p w:rsidR="00A3601F" w:rsidRDefault="00DB00E5" w:rsidP="00A3601F">
      <w:pPr>
        <w:pStyle w:val="ac"/>
        <w:spacing w:line="360" w:lineRule="auto"/>
        <w:jc w:val="both"/>
        <w:rPr>
          <w:rFonts w:ascii="David" w:hAnsi="David"/>
          <w:rtl/>
        </w:rPr>
      </w:pPr>
      <w:r>
        <w:rPr>
          <w:rFonts w:ascii="David" w:hAnsi="David"/>
          <w:rtl/>
        </w:rPr>
        <w:t>בכך, נתפס יה</w:t>
      </w:r>
      <w:r>
        <w:rPr>
          <w:rFonts w:ascii="David" w:hAnsi="David" w:hint="cs"/>
          <w:rtl/>
        </w:rPr>
        <w:t>'</w:t>
      </w:r>
      <w:r w:rsidR="00A3601F">
        <w:rPr>
          <w:rFonts w:ascii="David" w:hAnsi="David"/>
          <w:rtl/>
        </w:rPr>
        <w:t xml:space="preserve"> לכלל טעות בסברו שבהליך שלפני אדחה או אקבל התנגדות לבקשה לקיום צוואה – משל ל</w:t>
      </w:r>
      <w:r>
        <w:rPr>
          <w:rFonts w:ascii="David" w:hAnsi="David"/>
          <w:rtl/>
        </w:rPr>
        <w:t>א ניתן צו הקיום זה מכבר ומשל ח</w:t>
      </w:r>
      <w:r>
        <w:rPr>
          <w:rFonts w:ascii="David" w:hAnsi="David" w:hint="cs"/>
          <w:rtl/>
        </w:rPr>
        <w:t>'</w:t>
      </w:r>
      <w:r>
        <w:rPr>
          <w:rFonts w:ascii="David" w:hAnsi="David"/>
          <w:rtl/>
        </w:rPr>
        <w:t xml:space="preserve"> וי</w:t>
      </w:r>
      <w:r>
        <w:rPr>
          <w:rFonts w:ascii="David" w:hAnsi="David" w:hint="cs"/>
          <w:rtl/>
        </w:rPr>
        <w:t>'</w:t>
      </w:r>
      <w:r w:rsidR="00A3601F">
        <w:rPr>
          <w:rFonts w:ascii="David" w:hAnsi="David"/>
          <w:rtl/>
        </w:rPr>
        <w:t xml:space="preserve"> לא ביקשו למעשה אך לאפשר להם לחצות את סף הדיון.  </w:t>
      </w:r>
    </w:p>
    <w:p w:rsidR="00A3601F" w:rsidRDefault="00A3601F" w:rsidP="00A3601F">
      <w:pPr>
        <w:pStyle w:val="ac"/>
        <w:spacing w:line="360" w:lineRule="auto"/>
        <w:jc w:val="both"/>
        <w:rPr>
          <w:rFonts w:ascii="David" w:hAnsi="David"/>
          <w:b/>
          <w:bCs/>
          <w:u w:val="single"/>
          <w:rtl/>
        </w:rPr>
      </w:pPr>
    </w:p>
    <w:p w:rsidR="00A3601F" w:rsidRDefault="00A3601F" w:rsidP="00A3601F">
      <w:pPr>
        <w:pStyle w:val="ac"/>
        <w:spacing w:line="360" w:lineRule="auto"/>
        <w:jc w:val="both"/>
        <w:rPr>
          <w:rFonts w:ascii="David" w:hAnsi="David"/>
          <w:b/>
          <w:bCs/>
          <w:u w:val="single"/>
          <w:rtl/>
        </w:rPr>
      </w:pPr>
      <w:r>
        <w:rPr>
          <w:rFonts w:ascii="David" w:hAnsi="David"/>
          <w:b/>
          <w:bCs/>
          <w:u w:val="single"/>
          <w:rtl/>
        </w:rPr>
        <w:t>סיכום אופרטיבי</w:t>
      </w:r>
    </w:p>
    <w:p w:rsidR="00A3601F" w:rsidRDefault="00A3601F" w:rsidP="00A3601F">
      <w:pPr>
        <w:pStyle w:val="ac"/>
        <w:numPr>
          <w:ilvl w:val="0"/>
          <w:numId w:val="6"/>
        </w:numPr>
        <w:spacing w:after="160" w:line="360" w:lineRule="auto"/>
        <w:jc w:val="both"/>
        <w:rPr>
          <w:rFonts w:ascii="David" w:hAnsi="David"/>
          <w:rtl/>
        </w:rPr>
      </w:pPr>
      <w:r>
        <w:rPr>
          <w:rFonts w:ascii="David" w:hAnsi="David"/>
          <w:rtl/>
        </w:rPr>
        <w:t>פועל יוצא של מכלול האמור לעיל הוא שדין הבקשות להתקבל, ובהתאם דין הצו להתבטל, וכך אני מורה. אין בכך כדי לקבוע ממצא עוב</w:t>
      </w:r>
      <w:r w:rsidR="00DB00E5">
        <w:rPr>
          <w:rFonts w:ascii="David" w:hAnsi="David"/>
          <w:rtl/>
        </w:rPr>
        <w:t>דתי או להכריע בטענותיהם של י</w:t>
      </w:r>
      <w:r w:rsidR="00DB00E5">
        <w:rPr>
          <w:rFonts w:ascii="David" w:hAnsi="David" w:hint="cs"/>
          <w:rtl/>
        </w:rPr>
        <w:t>'</w:t>
      </w:r>
      <w:r w:rsidR="00DB00E5">
        <w:rPr>
          <w:rFonts w:ascii="David" w:hAnsi="David"/>
          <w:rtl/>
        </w:rPr>
        <w:t xml:space="preserve"> או ח</w:t>
      </w:r>
      <w:r w:rsidR="00DB00E5">
        <w:rPr>
          <w:rFonts w:ascii="David" w:hAnsi="David" w:hint="cs"/>
          <w:rtl/>
        </w:rPr>
        <w:t>'</w:t>
      </w:r>
      <w:r>
        <w:rPr>
          <w:rFonts w:ascii="David" w:hAnsi="David"/>
          <w:rtl/>
        </w:rPr>
        <w:t xml:space="preserve"> לגוף הצוואה נושא ההליך שלפניי. </w:t>
      </w:r>
    </w:p>
    <w:p w:rsidR="00A3601F" w:rsidRDefault="00A3601F" w:rsidP="00A3601F">
      <w:pPr>
        <w:pStyle w:val="ac"/>
        <w:spacing w:line="360" w:lineRule="auto"/>
        <w:jc w:val="both"/>
        <w:rPr>
          <w:rFonts w:ascii="David" w:hAnsi="David"/>
          <w:rtl/>
        </w:rPr>
      </w:pPr>
    </w:p>
    <w:p w:rsidR="00A3601F" w:rsidRDefault="00DB00E5" w:rsidP="00A3601F">
      <w:pPr>
        <w:pStyle w:val="ac"/>
        <w:numPr>
          <w:ilvl w:val="0"/>
          <w:numId w:val="6"/>
        </w:numPr>
        <w:spacing w:after="160" w:line="360" w:lineRule="auto"/>
        <w:jc w:val="both"/>
        <w:rPr>
          <w:rFonts w:ascii="David" w:hAnsi="David"/>
        </w:rPr>
      </w:pPr>
      <w:r>
        <w:rPr>
          <w:rFonts w:ascii="David" w:hAnsi="David"/>
          <w:rtl/>
        </w:rPr>
        <w:t>לאור הנסיבות שהתבררו, יגיש יה</w:t>
      </w:r>
      <w:r>
        <w:rPr>
          <w:rFonts w:ascii="David" w:hAnsi="David" w:hint="cs"/>
          <w:rtl/>
        </w:rPr>
        <w:t>'</w:t>
      </w:r>
      <w:r w:rsidR="00A3601F">
        <w:rPr>
          <w:rFonts w:ascii="David" w:hAnsi="David"/>
          <w:rtl/>
        </w:rPr>
        <w:t xml:space="preserve"> בקשה חדשה לפני כב' הרשם כהבנתו בה יגלה את מלוא העובדות הידועות, בשים לב כי קיימת צוואה מאוחרת אשר שמורה במקורה בכספת בית המשפט, או-אז יוכל צד מעוניין לבחור להגיש עמדתו ביחס לבקשה. </w:t>
      </w:r>
    </w:p>
    <w:p w:rsidR="00A3601F" w:rsidRDefault="00A3601F" w:rsidP="00A3601F">
      <w:pPr>
        <w:pStyle w:val="ac"/>
        <w:rPr>
          <w:rFonts w:ascii="David" w:hAnsi="David"/>
          <w:rtl/>
        </w:rPr>
      </w:pPr>
    </w:p>
    <w:p w:rsidR="00A3601F" w:rsidRDefault="00A3601F" w:rsidP="00A3601F">
      <w:pPr>
        <w:pStyle w:val="ac"/>
        <w:numPr>
          <w:ilvl w:val="0"/>
          <w:numId w:val="6"/>
        </w:numPr>
        <w:spacing w:after="160" w:line="360" w:lineRule="auto"/>
        <w:jc w:val="both"/>
        <w:rPr>
          <w:rFonts w:ascii="David" w:hAnsi="David"/>
        </w:rPr>
      </w:pPr>
      <w:r>
        <w:rPr>
          <w:rFonts w:ascii="David" w:hAnsi="David"/>
          <w:rtl/>
        </w:rPr>
        <w:lastRenderedPageBreak/>
        <w:t>באשר להוצאות. ההליכים שלפני נוהלו תוך הכבדה דיונית שלא לצורך מטעם הצדדים כולם (שדומה שנתפסו לפרקים לדבר טעות באשר לאופי ההליך), שעה שעל פני הדברים דומה שעל נקלה יכולים היו להגיע לכלל הסכמה דיונית בדבר האופן שבו יבוררו טענות הצדדים לגופן. גם לאחר דבר</w:t>
      </w:r>
      <w:r w:rsidR="00DB00E5">
        <w:rPr>
          <w:rFonts w:ascii="David" w:hAnsi="David"/>
          <w:rtl/>
        </w:rPr>
        <w:t xml:space="preserve"> גילוי הצוואה המאוחרת, בחר יה</w:t>
      </w:r>
      <w:r w:rsidR="00DB00E5">
        <w:rPr>
          <w:rFonts w:ascii="David" w:hAnsi="David" w:hint="cs"/>
          <w:rtl/>
        </w:rPr>
        <w:t>'</w:t>
      </w:r>
      <w:r>
        <w:rPr>
          <w:rFonts w:ascii="David" w:hAnsi="David"/>
          <w:rtl/>
        </w:rPr>
        <w:t xml:space="preserve"> להמשיך בהכבדה על ניהול ההליך. כפועל יוצא, בשקלול אופיו הראוי של הליך זה ולאור</w:t>
      </w:r>
      <w:r w:rsidR="00DB00E5">
        <w:rPr>
          <w:rFonts w:ascii="David" w:hAnsi="David"/>
          <w:rtl/>
        </w:rPr>
        <w:t xml:space="preserve"> התוצאה לה הגעתי, יישא יה</w:t>
      </w:r>
      <w:r w:rsidR="00DB00E5">
        <w:rPr>
          <w:rFonts w:ascii="David" w:hAnsi="David" w:hint="cs"/>
          <w:rtl/>
        </w:rPr>
        <w:t>'</w:t>
      </w:r>
      <w:r w:rsidR="00DB00E5">
        <w:rPr>
          <w:rFonts w:ascii="David" w:hAnsi="David"/>
          <w:rtl/>
        </w:rPr>
        <w:t xml:space="preserve"> בהוצאותיהם של ח</w:t>
      </w:r>
      <w:r w:rsidR="00DB00E5">
        <w:rPr>
          <w:rFonts w:ascii="David" w:hAnsi="David" w:hint="cs"/>
          <w:rtl/>
        </w:rPr>
        <w:t>'</w:t>
      </w:r>
      <w:r w:rsidR="00DB00E5">
        <w:rPr>
          <w:rFonts w:ascii="David" w:hAnsi="David"/>
          <w:rtl/>
        </w:rPr>
        <w:t xml:space="preserve"> ושל י</w:t>
      </w:r>
      <w:r w:rsidR="00DB00E5">
        <w:rPr>
          <w:rFonts w:ascii="David" w:hAnsi="David" w:hint="cs"/>
          <w:rtl/>
        </w:rPr>
        <w:t>'</w:t>
      </w:r>
      <w:r>
        <w:rPr>
          <w:rFonts w:ascii="David" w:hAnsi="David"/>
          <w:rtl/>
        </w:rPr>
        <w:t xml:space="preserve"> ברף מתון, בסך כולל של 5,000 ₪ לכל אחד.</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פסק הדין מותר בפרסום בהשמטת מלוא פרטיהם המזהים של הצדדים ובאי כוחם.</w:t>
      </w:r>
    </w:p>
    <w:p w:rsidR="00A3601F" w:rsidRDefault="00A3601F" w:rsidP="00A3601F">
      <w:pPr>
        <w:pStyle w:val="ac"/>
        <w:spacing w:line="360" w:lineRule="auto"/>
        <w:jc w:val="both"/>
        <w:rPr>
          <w:rFonts w:ascii="David" w:hAnsi="David"/>
          <w:rtl/>
        </w:rPr>
      </w:pPr>
    </w:p>
    <w:p w:rsidR="00A3601F" w:rsidRDefault="00A3601F" w:rsidP="00A3601F">
      <w:pPr>
        <w:pStyle w:val="ac"/>
        <w:spacing w:line="360" w:lineRule="auto"/>
        <w:jc w:val="both"/>
        <w:rPr>
          <w:rFonts w:ascii="David" w:hAnsi="David"/>
          <w:rtl/>
        </w:rPr>
      </w:pPr>
      <w:r>
        <w:rPr>
          <w:rFonts w:ascii="David" w:hAnsi="David"/>
          <w:rtl/>
        </w:rPr>
        <w:t xml:space="preserve">המזכירות תמציא פסק הדין לצדדים ותסגור את כלל התיקים שבכותרת.  </w:t>
      </w:r>
    </w:p>
    <w:p w:rsidR="00A3601F" w:rsidRDefault="00A3601F" w:rsidP="00A3601F">
      <w:pPr>
        <w:spacing w:line="360" w:lineRule="auto"/>
        <w:jc w:val="both"/>
        <w:rPr>
          <w:rFonts w:ascii="David" w:hAnsi="David"/>
        </w:rPr>
      </w:pPr>
    </w:p>
    <w:p w:rsidR="00A3601F" w:rsidRDefault="00A3601F" w:rsidP="00A3601F">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יוני 2023</w:t>
          </w:r>
        </w:sdtContent>
      </w:sdt>
      <w:r>
        <w:rPr>
          <w:rFonts w:ascii="Arial" w:hAnsi="Arial"/>
          <w:noProof w:val="0"/>
          <w:rtl/>
        </w:rPr>
        <w:t>, בהעדר הצדדים.</w:t>
      </w:r>
    </w:p>
    <w:p w:rsidR="00A3601F" w:rsidRDefault="00A3601F" w:rsidP="00A3601F">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AA414DB586EB43C3A188CF49B7E0DE27"/>
          </w:placeholder>
          <w:showingPlcHdr/>
          <w:text w:multiLine="1"/>
        </w:sdtPr>
        <w:sdtEndPr/>
        <w:sdtContent/>
      </w:sdt>
      <w:r>
        <w:rPr>
          <w:rFonts w:ascii="Arial" w:hAnsi="Arial"/>
          <w:noProof w:val="0"/>
          <w:rtl/>
        </w:rPr>
        <w:tab/>
      </w:r>
      <w:r>
        <w:rPr>
          <w:rFonts w:ascii="Arial" w:hAnsi="Arial"/>
          <w:noProof w:val="0"/>
          <w:rtl/>
        </w:rPr>
        <w:tab/>
        <w:t xml:space="preserve"> </w:t>
      </w:r>
    </w:p>
    <w:p w:rsidR="00A3601F" w:rsidRDefault="000B5C73" w:rsidP="00A3601F">
      <w:pPr>
        <w:spacing w:line="360" w:lineRule="auto"/>
        <w:ind w:left="3600" w:firstLine="720"/>
        <w:rPr>
          <w:rtl/>
        </w:rPr>
      </w:pPr>
      <w:sdt>
        <w:sdtPr>
          <w:rPr>
            <w:rtl/>
          </w:rPr>
          <w:alias w:val="MergeField"/>
          <w:tag w:val="1237"/>
          <w:id w:val="461006424"/>
        </w:sdtPr>
        <w:sdtEndPr/>
        <w:sdtContent>
          <w:r w:rsidR="00A3601F">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A3601F" w:rsidRDefault="00A3601F" w:rsidP="00A3601F">
      <w:pPr>
        <w:spacing w:line="360" w:lineRule="auto"/>
        <w:ind w:left="3600" w:firstLine="720"/>
        <w:rPr>
          <w:rFonts w:ascii="Arial" w:hAnsi="Arial"/>
          <w:noProof w:val="0"/>
        </w:rPr>
      </w:pPr>
    </w:p>
    <w:p w:rsidR="00A3601F" w:rsidRDefault="00A3601F" w:rsidP="00A3601F">
      <w:pPr>
        <w:spacing w:line="360" w:lineRule="auto"/>
        <w:jc w:val="both"/>
        <w:rPr>
          <w:rFonts w:ascii="Arial" w:hAnsi="Arial"/>
          <w:noProof w:val="0"/>
          <w:rtl/>
        </w:rPr>
      </w:pPr>
    </w:p>
    <w:p w:rsidR="00A3601F" w:rsidRDefault="00A3601F" w:rsidP="00A3601F">
      <w:pPr>
        <w:spacing w:line="360" w:lineRule="auto"/>
        <w:jc w:val="both"/>
        <w:rPr>
          <w:rFonts w:ascii="Arial" w:hAnsi="Arial"/>
          <w:noProof w:val="0"/>
          <w:rtl/>
        </w:rPr>
      </w:pPr>
    </w:p>
    <w:p w:rsidR="00CB1E7A" w:rsidRPr="00A3601F" w:rsidRDefault="00CB1E7A" w:rsidP="00A3601F"/>
    <w:sectPr w:rsidR="00CB1E7A" w:rsidRPr="00A3601F"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C73" w:rsidRDefault="000B5C73" w:rsidP="00A30504">
      <w:r>
        <w:separator/>
      </w:r>
    </w:p>
  </w:endnote>
  <w:endnote w:type="continuationSeparator" w:id="0">
    <w:p w:rsidR="000B5C73" w:rsidRDefault="000B5C73"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B824DB">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B824DB">
      <w:rPr>
        <w:rStyle w:val="a8"/>
        <w:rtl/>
      </w:rPr>
      <w:t>9</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C73" w:rsidRDefault="000B5C73" w:rsidP="00A30504">
      <w:r>
        <w:separator/>
      </w:r>
    </w:p>
  </w:footnote>
  <w:footnote w:type="continuationSeparator" w:id="0">
    <w:p w:rsidR="000B5C73" w:rsidRDefault="000B5C73"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811"/>
      <w:gridCol w:w="3495"/>
      <w:gridCol w:w="199"/>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A3601F" w:rsidTr="00A3601F">
      <w:trPr>
        <w:gridAfter w:val="1"/>
        <w:wAfter w:w="199" w:type="dxa"/>
        <w:trHeight w:val="337"/>
        <w:jc w:val="center"/>
      </w:trPr>
      <w:tc>
        <w:tcPr>
          <w:tcW w:w="4811" w:type="dxa"/>
        </w:tcPr>
        <w:p w:rsidR="00A3601F" w:rsidRDefault="00A3601F" w:rsidP="00A3601F">
          <w:pPr>
            <w:rPr>
              <w:b/>
              <w:bCs/>
              <w:noProof w:val="0"/>
              <w:sz w:val="26"/>
              <w:szCs w:val="26"/>
            </w:rPr>
          </w:pPr>
        </w:p>
      </w:tc>
      <w:tc>
        <w:tcPr>
          <w:tcW w:w="3495" w:type="dxa"/>
        </w:tcPr>
        <w:p w:rsidR="00A3601F" w:rsidRDefault="00A3601F" w:rsidP="00A3601F">
          <w:pPr>
            <w:pStyle w:val="a3"/>
            <w:jc w:val="right"/>
            <w:rPr>
              <w:b/>
              <w:bCs/>
              <w:noProof w:val="0"/>
              <w:sz w:val="26"/>
              <w:szCs w:val="26"/>
              <w:rtl/>
            </w:rPr>
          </w:pPr>
        </w:p>
      </w:tc>
    </w:tr>
    <w:tr w:rsidR="00A3601F" w:rsidTr="00A3601F">
      <w:trPr>
        <w:gridAfter w:val="1"/>
        <w:wAfter w:w="199" w:type="dxa"/>
        <w:trHeight w:val="337"/>
        <w:jc w:val="center"/>
      </w:trPr>
      <w:tc>
        <w:tcPr>
          <w:tcW w:w="8306" w:type="dxa"/>
          <w:gridSpan w:val="2"/>
        </w:tcPr>
        <w:p w:rsidR="00A3601F" w:rsidRDefault="000B5C73" w:rsidP="00A3601F">
          <w:pPr>
            <w:rPr>
              <w:b/>
              <w:bCs/>
              <w:noProof w:val="0"/>
              <w:sz w:val="26"/>
              <w:szCs w:val="26"/>
              <w:rtl/>
            </w:rPr>
          </w:pPr>
          <w:sdt>
            <w:sdtPr>
              <w:rPr>
                <w:b/>
                <w:bCs/>
                <w:noProof w:val="0"/>
                <w:sz w:val="26"/>
                <w:szCs w:val="26"/>
                <w:rtl/>
              </w:rPr>
              <w:alias w:val="1170"/>
              <w:tag w:val="1170"/>
              <w:id w:val="299038016"/>
              <w:text w:multiLine="1"/>
            </w:sdtPr>
            <w:sdtEndPr/>
            <w:sdtContent>
              <w:r w:rsidR="00A3601F">
                <w:rPr>
                  <w:b/>
                  <w:bCs/>
                  <w:noProof w:val="0"/>
                  <w:sz w:val="26"/>
                  <w:szCs w:val="26"/>
                  <w:rtl/>
                </w:rPr>
                <w:t>ת"ע</w:t>
              </w:r>
            </w:sdtContent>
          </w:sdt>
          <w:r w:rsidR="00A3601F">
            <w:rPr>
              <w:b/>
              <w:bCs/>
              <w:noProof w:val="0"/>
              <w:sz w:val="26"/>
              <w:szCs w:val="26"/>
              <w:rtl/>
            </w:rPr>
            <w:t xml:space="preserve"> </w:t>
          </w:r>
          <w:sdt>
            <w:sdtPr>
              <w:rPr>
                <w:b/>
                <w:bCs/>
                <w:noProof w:val="0"/>
                <w:sz w:val="26"/>
                <w:szCs w:val="26"/>
                <w:rtl/>
              </w:rPr>
              <w:alias w:val="1171"/>
              <w:tag w:val="1171"/>
              <w:id w:val="81650337"/>
              <w:text w:multiLine="1"/>
            </w:sdtPr>
            <w:sdtEndPr/>
            <w:sdtContent>
              <w:r w:rsidR="00A3601F">
                <w:rPr>
                  <w:b/>
                  <w:bCs/>
                  <w:noProof w:val="0"/>
                  <w:sz w:val="26"/>
                  <w:szCs w:val="26"/>
                  <w:rtl/>
                </w:rPr>
                <w:t>41980-02-20</w:t>
              </w:r>
            </w:sdtContent>
          </w:sdt>
          <w:r w:rsidR="00A3601F">
            <w:rPr>
              <w:b/>
              <w:bCs/>
              <w:noProof w:val="0"/>
              <w:sz w:val="26"/>
              <w:szCs w:val="26"/>
              <w:rtl/>
            </w:rPr>
            <w:t xml:space="preserve"> </w:t>
          </w:r>
          <w:sdt>
            <w:sdtPr>
              <w:rPr>
                <w:b/>
                <w:bCs/>
                <w:noProof w:val="0"/>
                <w:sz w:val="26"/>
                <w:szCs w:val="26"/>
                <w:rtl/>
              </w:rPr>
              <w:alias w:val="1172"/>
              <w:tag w:val="1172"/>
              <w:id w:val="-1742169342"/>
              <w:text w:multiLine="1"/>
            </w:sdtPr>
            <w:sdtEndPr/>
            <w:sdtContent>
              <w:r w:rsidR="006C384D">
                <w:rPr>
                  <w:rFonts w:hint="cs"/>
                  <w:b/>
                  <w:bCs/>
                  <w:noProof w:val="0"/>
                  <w:sz w:val="26"/>
                  <w:szCs w:val="26"/>
                  <w:rtl/>
                </w:rPr>
                <w:t>כ'</w:t>
              </w:r>
              <w:r w:rsidR="00A3601F">
                <w:rPr>
                  <w:b/>
                  <w:bCs/>
                  <w:noProof w:val="0"/>
                  <w:sz w:val="26"/>
                  <w:szCs w:val="26"/>
                  <w:rtl/>
                </w:rPr>
                <w:t xml:space="preserve"> נ' האפוטרופוס הכללי במחוז דרום ואח'</w:t>
              </w:r>
            </w:sdtContent>
          </w:sdt>
        </w:p>
        <w:p w:rsidR="00A3601F" w:rsidRDefault="00A3601F" w:rsidP="00A3601F">
          <w:pPr>
            <w:rPr>
              <w:b/>
              <w:bCs/>
              <w:noProof w:val="0"/>
              <w:sz w:val="2"/>
              <w:szCs w:val="2"/>
              <w:rtl/>
            </w:rPr>
          </w:pPr>
        </w:p>
        <w:p w:rsidR="00A3601F" w:rsidRDefault="006C384D" w:rsidP="00A3601F">
          <w:pPr>
            <w:rPr>
              <w:b/>
              <w:bCs/>
              <w:noProof w:val="0"/>
              <w:sz w:val="26"/>
              <w:szCs w:val="26"/>
              <w:rtl/>
            </w:rPr>
          </w:pPr>
          <w:r>
            <w:rPr>
              <w:b/>
              <w:bCs/>
              <w:noProof w:val="0"/>
              <w:sz w:val="26"/>
              <w:szCs w:val="26"/>
              <w:rtl/>
            </w:rPr>
            <w:t>ת"ע 42417-02-20 כ</w:t>
          </w:r>
          <w:r>
            <w:rPr>
              <w:rFonts w:hint="cs"/>
              <w:b/>
              <w:bCs/>
              <w:noProof w:val="0"/>
              <w:sz w:val="26"/>
              <w:szCs w:val="26"/>
              <w:rtl/>
            </w:rPr>
            <w:t>'</w:t>
          </w:r>
          <w:r w:rsidR="00A3601F">
            <w:rPr>
              <w:b/>
              <w:bCs/>
              <w:noProof w:val="0"/>
              <w:sz w:val="26"/>
              <w:szCs w:val="26"/>
              <w:rtl/>
            </w:rPr>
            <w:t xml:space="preserve"> נ' האפוטרופוס הכללי במחוז דרום</w:t>
          </w:r>
        </w:p>
        <w:p w:rsidR="00A3601F" w:rsidRDefault="006C384D" w:rsidP="00A3601F">
          <w:pPr>
            <w:rPr>
              <w:b/>
              <w:bCs/>
              <w:noProof w:val="0"/>
              <w:sz w:val="26"/>
              <w:szCs w:val="26"/>
              <w:rtl/>
            </w:rPr>
          </w:pPr>
          <w:r>
            <w:rPr>
              <w:b/>
              <w:bCs/>
              <w:noProof w:val="0"/>
              <w:sz w:val="26"/>
              <w:szCs w:val="26"/>
              <w:rtl/>
            </w:rPr>
            <w:t>ת"ע 42380-02-20 כ</w:t>
          </w:r>
          <w:r>
            <w:rPr>
              <w:rFonts w:hint="cs"/>
              <w:b/>
              <w:bCs/>
              <w:noProof w:val="0"/>
              <w:sz w:val="26"/>
              <w:szCs w:val="26"/>
              <w:rtl/>
            </w:rPr>
            <w:t>'</w:t>
          </w:r>
          <w:r w:rsidR="00A3601F">
            <w:rPr>
              <w:b/>
              <w:bCs/>
              <w:noProof w:val="0"/>
              <w:sz w:val="26"/>
              <w:szCs w:val="26"/>
              <w:rtl/>
            </w:rPr>
            <w:t xml:space="preserve"> נ' האפוטרופוס הכללי במחוז דרום</w:t>
          </w:r>
        </w:p>
        <w:p w:rsidR="00A3601F" w:rsidRDefault="00A3601F" w:rsidP="00A3601F">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r>
                    <w:rPr>
                      <w:sz w:val="20"/>
                      <w:szCs w:val="20"/>
                      <w:rtl/>
                    </w:rPr>
                    <w:t>54254_5</w:t>
                  </w:r>
                </w:sdtContent>
              </w:sdt>
              <w:r>
                <w:rPr>
                  <w:sz w:val="20"/>
                  <w:szCs w:val="20"/>
                  <w:rtl/>
                </w:rPr>
                <w:t xml:space="preserve"> </w:t>
              </w:r>
            </w:sdtContent>
          </w:sdt>
          <w:r>
            <w:rPr>
              <w:sz w:val="20"/>
              <w:szCs w:val="20"/>
              <w:rtl/>
            </w:rPr>
            <w:t xml:space="preserve"> </w:t>
          </w:r>
        </w:p>
      </w:tc>
    </w:tr>
  </w:tbl>
  <w:p w:rsidR="00A3601F" w:rsidRDefault="00A3601F" w:rsidP="00A3601F">
    <w:pPr>
      <w:pStyle w:val="a3"/>
      <w:rPr>
        <w:noProof w:val="0"/>
        <w:rtl/>
      </w:rPr>
    </w:pPr>
    <w:r>
      <w:rPr>
        <w:noProof w:val="0"/>
        <w:rtl/>
      </w:rPr>
      <w:t xml:space="preserve"> </w:t>
    </w:r>
  </w:p>
  <w:p w:rsidR="0000787B" w:rsidRPr="00330799" w:rsidRDefault="000B5C73"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0353C9"/>
    <w:multiLevelType w:val="hybridMultilevel"/>
    <w:tmpl w:val="F692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B5C73"/>
    <w:rsid w:val="000E6940"/>
    <w:rsid w:val="00112F6C"/>
    <w:rsid w:val="00123396"/>
    <w:rsid w:val="001F032F"/>
    <w:rsid w:val="00204361"/>
    <w:rsid w:val="00216D78"/>
    <w:rsid w:val="00310C88"/>
    <w:rsid w:val="00330799"/>
    <w:rsid w:val="00414D88"/>
    <w:rsid w:val="004204FE"/>
    <w:rsid w:val="00487C9F"/>
    <w:rsid w:val="005C7A13"/>
    <w:rsid w:val="00671EB3"/>
    <w:rsid w:val="006A10DE"/>
    <w:rsid w:val="006C384D"/>
    <w:rsid w:val="0075045D"/>
    <w:rsid w:val="00832ED3"/>
    <w:rsid w:val="00A30504"/>
    <w:rsid w:val="00A3601F"/>
    <w:rsid w:val="00B824DB"/>
    <w:rsid w:val="00C1241C"/>
    <w:rsid w:val="00C827A6"/>
    <w:rsid w:val="00CB1E7A"/>
    <w:rsid w:val="00D62C22"/>
    <w:rsid w:val="00D76B8C"/>
    <w:rsid w:val="00DB00E5"/>
    <w:rsid w:val="00DF1F3E"/>
    <w:rsid w:val="00E44517"/>
    <w:rsid w:val="00EF7B09"/>
    <w:rsid w:val="00F27237"/>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281002">
      <w:bodyDiv w:val="1"/>
      <w:marLeft w:val="0"/>
      <w:marRight w:val="0"/>
      <w:marTop w:val="0"/>
      <w:marBottom w:val="0"/>
      <w:divBdr>
        <w:top w:val="none" w:sz="0" w:space="0" w:color="auto"/>
        <w:left w:val="none" w:sz="0" w:space="0" w:color="auto"/>
        <w:bottom w:val="none" w:sz="0" w:space="0" w:color="auto"/>
        <w:right w:val="none" w:sz="0" w:space="0" w:color="auto"/>
      </w:divBdr>
    </w:div>
    <w:div w:id="392047608">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485052764">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C2F18D5EBE7490FAABC441C1DD61B00"/>
        <w:category>
          <w:name w:val="כללי"/>
          <w:gallery w:val="placeholder"/>
        </w:category>
        <w:types>
          <w:type w:val="bbPlcHdr"/>
        </w:types>
        <w:behaviors>
          <w:behavior w:val="content"/>
        </w:behaviors>
        <w:guid w:val="{2C04097F-C7C4-467B-91BD-1C0865CE9B5B}"/>
      </w:docPartPr>
      <w:docPartBody>
        <w:p w:rsidR="00C24384" w:rsidRDefault="001A4464" w:rsidP="001A4464">
          <w:pPr>
            <w:pStyle w:val="DC2F18D5EBE7490FAABC441C1DD61B00"/>
          </w:pPr>
          <w:r>
            <w:rPr>
              <w:b/>
              <w:bCs/>
              <w:sz w:val="28"/>
              <w:rtl/>
            </w:rPr>
            <w:t>סוג זיהוי צד א'</w:t>
          </w:r>
        </w:p>
      </w:docPartBody>
    </w:docPart>
    <w:docPart>
      <w:docPartPr>
        <w:name w:val="B2211987512C4D8E896A182EDD04AFDC"/>
        <w:category>
          <w:name w:val="כללי"/>
          <w:gallery w:val="placeholder"/>
        </w:category>
        <w:types>
          <w:type w:val="bbPlcHdr"/>
        </w:types>
        <w:behaviors>
          <w:behavior w:val="content"/>
        </w:behaviors>
        <w:guid w:val="{0BC321EF-CC6E-42B8-9EB6-D2329820A395}"/>
      </w:docPartPr>
      <w:docPartBody>
        <w:p w:rsidR="00C24384" w:rsidRDefault="001A4464" w:rsidP="001A4464">
          <w:pPr>
            <w:pStyle w:val="B2211987512C4D8E896A182EDD04AFDC"/>
          </w:pPr>
          <w:r>
            <w:rPr>
              <w:b/>
              <w:bCs/>
              <w:sz w:val="28"/>
              <w:rtl/>
            </w:rPr>
            <w:t>סוג זיהוי צד ב'</w:t>
          </w:r>
        </w:p>
      </w:docPartBody>
    </w:docPart>
    <w:docPart>
      <w:docPartPr>
        <w:name w:val="8B452B940C8D4D12BFF18AE1DB08EAD9"/>
        <w:category>
          <w:name w:val="כללי"/>
          <w:gallery w:val="placeholder"/>
        </w:category>
        <w:types>
          <w:type w:val="bbPlcHdr"/>
        </w:types>
        <w:behaviors>
          <w:behavior w:val="content"/>
        </w:behaviors>
        <w:guid w:val="{02AF74F0-DB58-490B-A399-1571B82F0CB6}"/>
      </w:docPartPr>
      <w:docPartBody>
        <w:p w:rsidR="00C24384" w:rsidRDefault="001A4464" w:rsidP="001A4464">
          <w:pPr>
            <w:pStyle w:val="8B452B940C8D4D12BFF18AE1DB08EAD9"/>
          </w:pPr>
          <w:r>
            <w:rPr>
              <w:b/>
              <w:bCs/>
              <w:sz w:val="28"/>
              <w:rtl/>
            </w:rPr>
            <w:t>מספר זיהוי צד ב'</w:t>
          </w:r>
        </w:p>
      </w:docPartBody>
    </w:docPart>
    <w:docPart>
      <w:docPartPr>
        <w:name w:val="3D034CFE8DAB4C948F11718D60D120C5"/>
        <w:category>
          <w:name w:val="כללי"/>
          <w:gallery w:val="placeholder"/>
        </w:category>
        <w:types>
          <w:type w:val="bbPlcHdr"/>
        </w:types>
        <w:behaviors>
          <w:behavior w:val="content"/>
        </w:behaviors>
        <w:guid w:val="{F54637FA-E8F1-4648-96E9-B0EF33FDE4E5}"/>
      </w:docPartPr>
      <w:docPartBody>
        <w:p w:rsidR="00C24384" w:rsidRDefault="001A4464" w:rsidP="001A4464">
          <w:pPr>
            <w:pStyle w:val="3D034CFE8DAB4C948F11718D60D120C5"/>
          </w:pPr>
          <w:r>
            <w:rPr>
              <w:b/>
              <w:bCs/>
              <w:sz w:val="28"/>
              <w:rtl/>
            </w:rPr>
            <w:t>סוג זיהוי צד ב'</w:t>
          </w:r>
        </w:p>
      </w:docPartBody>
    </w:docPart>
    <w:docPart>
      <w:docPartPr>
        <w:name w:val="AA414DB586EB43C3A188CF49B7E0DE27"/>
        <w:category>
          <w:name w:val="כללי"/>
          <w:gallery w:val="placeholder"/>
        </w:category>
        <w:types>
          <w:type w:val="bbPlcHdr"/>
        </w:types>
        <w:behaviors>
          <w:behavior w:val="content"/>
        </w:behaviors>
        <w:guid w:val="{DE0A11D0-66AF-44C2-A15B-A8A6BF4D109F}"/>
      </w:docPartPr>
      <w:docPartBody>
        <w:p w:rsidR="00C24384" w:rsidRDefault="001A4464" w:rsidP="001A4464">
          <w:pPr>
            <w:pStyle w:val="AA414DB586EB43C3A188CF49B7E0DE2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A4464"/>
    <w:rsid w:val="00C24384"/>
    <w:rsid w:val="00E17978"/>
    <w:rsid w:val="00E6522B"/>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1A4464"/>
  </w:style>
  <w:style w:type="paragraph" w:customStyle="1" w:styleId="AA84A2823C0B45FBAD1A35D5ED710CA8">
    <w:name w:val="AA84A2823C0B45FBAD1A35D5ED710CA8"/>
    <w:rsid w:val="00F94841"/>
    <w:pPr>
      <w:bidi/>
    </w:pPr>
  </w:style>
  <w:style w:type="paragraph" w:customStyle="1" w:styleId="DC2F18D5EBE7490FAABC441C1DD61B00">
    <w:name w:val="DC2F18D5EBE7490FAABC441C1DD61B00"/>
    <w:rsid w:val="001A4464"/>
    <w:pPr>
      <w:bidi/>
    </w:pPr>
  </w:style>
  <w:style w:type="paragraph" w:customStyle="1" w:styleId="3CAC7053A18A410791B8E406CDB22B09">
    <w:name w:val="3CAC7053A18A410791B8E406CDB22B09"/>
    <w:rsid w:val="001A4464"/>
    <w:pPr>
      <w:bidi/>
    </w:pPr>
  </w:style>
  <w:style w:type="paragraph" w:customStyle="1" w:styleId="B2211987512C4D8E896A182EDD04AFDC">
    <w:name w:val="B2211987512C4D8E896A182EDD04AFDC"/>
    <w:rsid w:val="001A4464"/>
    <w:pPr>
      <w:bidi/>
    </w:pPr>
  </w:style>
  <w:style w:type="paragraph" w:customStyle="1" w:styleId="8B452B940C8D4D12BFF18AE1DB08EAD9">
    <w:name w:val="8B452B940C8D4D12BFF18AE1DB08EAD9"/>
    <w:rsid w:val="001A4464"/>
    <w:pPr>
      <w:bidi/>
    </w:pPr>
  </w:style>
  <w:style w:type="paragraph" w:customStyle="1" w:styleId="3D034CFE8DAB4C948F11718D60D120C5">
    <w:name w:val="3D034CFE8DAB4C948F11718D60D120C5"/>
    <w:rsid w:val="001A4464"/>
    <w:pPr>
      <w:bidi/>
    </w:pPr>
  </w:style>
  <w:style w:type="paragraph" w:customStyle="1" w:styleId="A1349BEED2ED4EFD99D3734E6B928B5C">
    <w:name w:val="A1349BEED2ED4EFD99D3734E6B928B5C"/>
    <w:rsid w:val="001A4464"/>
    <w:pPr>
      <w:bidi/>
    </w:pPr>
  </w:style>
  <w:style w:type="paragraph" w:customStyle="1" w:styleId="AA414DB586EB43C3A188CF49B7E0DE27">
    <w:name w:val="AA414DB586EB43C3A188CF49B7E0DE27"/>
    <w:rsid w:val="001A446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2164</Words>
  <Characters>10823</Characters>
  <Application>Microsoft Office Word</Application>
  <DocSecurity>0</DocSecurity>
  <Lines>90</Lines>
  <Paragraphs>25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2023-07-23T11:11:00Z</dcterms:created>
  <dcterms:modified xsi:type="dcterms:W3CDTF">2023-07-23T11:11:00Z</dcterms:modified>
</cp:coreProperties>
</file>